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08" w:rsidRDefault="00E013DE" w:rsidP="00E76508">
      <w:pPr>
        <w:pStyle w:val="Title"/>
      </w:pPr>
      <w:r>
        <w:t xml:space="preserve"> </w:t>
      </w:r>
      <w:r w:rsidR="00E76508" w:rsidRPr="003C4EBC">
        <w:t>Ministru kabineta noteikumu projekta</w:t>
      </w:r>
    </w:p>
    <w:p w:rsidR="00E76508" w:rsidRPr="00E76508" w:rsidRDefault="00E76508" w:rsidP="00E76508">
      <w:pPr>
        <w:jc w:val="center"/>
        <w:rPr>
          <w:b/>
          <w:bCs/>
        </w:rPr>
      </w:pPr>
      <w:r w:rsidRPr="00E76508">
        <w:rPr>
          <w:b/>
        </w:rPr>
        <w:t>”</w:t>
      </w:r>
      <w:r w:rsidRPr="00E76508">
        <w:rPr>
          <w:b/>
          <w:bCs/>
        </w:rPr>
        <w:t>Grozījumi Ministru kabineta</w:t>
      </w:r>
      <w:r w:rsidRPr="00E76508">
        <w:rPr>
          <w:rFonts w:ascii="Verdana" w:eastAsia="Calibri" w:hAnsi="Verdana" w:cs="Verdana"/>
          <w:b/>
          <w:color w:val="656565"/>
          <w:sz w:val="16"/>
          <w:szCs w:val="16"/>
          <w:lang w:eastAsia="en-US"/>
        </w:rPr>
        <w:t xml:space="preserve"> </w:t>
      </w:r>
      <w:r w:rsidRPr="00E76508">
        <w:rPr>
          <w:rFonts w:eastAsia="Calibri"/>
          <w:b/>
          <w:lang w:eastAsia="en-US"/>
        </w:rPr>
        <w:t>2011.gada 21.jūnija noteikumos Nr.485 „Atsevišķu veidu bīstamo atkritumu apsaimniekošanas kārtība””</w:t>
      </w:r>
      <w:r>
        <w:rPr>
          <w:rFonts w:eastAsia="Calibri"/>
          <w:b/>
          <w:lang w:eastAsia="en-US"/>
        </w:rPr>
        <w:t xml:space="preserve"> </w:t>
      </w:r>
      <w:r w:rsidRPr="00E76508">
        <w:rPr>
          <w:b/>
        </w:rPr>
        <w:t xml:space="preserve">sākotnējās ietekmes novērtējuma </w:t>
      </w:r>
      <w:smartTag w:uri="schemas-tilde-lv/tildestengine" w:element="veidnes">
        <w:smartTagPr>
          <w:attr w:name="id" w:val="-1"/>
          <w:attr w:name="baseform" w:val="ziņojums"/>
          <w:attr w:name="text" w:val="ziņojums"/>
        </w:smartTagPr>
        <w:r w:rsidRPr="00E76508">
          <w:rPr>
            <w:b/>
          </w:rPr>
          <w:t>ziņojums</w:t>
        </w:r>
      </w:smartTag>
      <w:r w:rsidRPr="00E76508">
        <w:rPr>
          <w:b/>
        </w:rPr>
        <w:t xml:space="preserve"> (anotācija)</w:t>
      </w:r>
    </w:p>
    <w:p w:rsidR="00E76508" w:rsidRPr="00FB41DC" w:rsidRDefault="00E76508" w:rsidP="00E7650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00"/>
        <w:gridCol w:w="5939"/>
      </w:tblGrid>
      <w:tr w:rsidR="00E76508" w:rsidRPr="00FB41DC" w:rsidTr="00152065">
        <w:tc>
          <w:tcPr>
            <w:tcW w:w="9359" w:type="dxa"/>
            <w:gridSpan w:val="3"/>
          </w:tcPr>
          <w:p w:rsidR="00E76508" w:rsidRPr="00FB41DC" w:rsidRDefault="00E76508" w:rsidP="00152065">
            <w:pPr>
              <w:jc w:val="center"/>
              <w:rPr>
                <w:b/>
              </w:rPr>
            </w:pPr>
            <w:r w:rsidRPr="00FB41DC">
              <w:rPr>
                <w:b/>
              </w:rPr>
              <w:t>I. Tiesību akta projekta izstrādes nepieciešamība</w:t>
            </w:r>
          </w:p>
        </w:tc>
      </w:tr>
      <w:tr w:rsidR="00E76508" w:rsidRPr="0062273E" w:rsidTr="00152065">
        <w:tc>
          <w:tcPr>
            <w:tcW w:w="720" w:type="dxa"/>
          </w:tcPr>
          <w:p w:rsidR="00E76508" w:rsidRPr="0062273E" w:rsidRDefault="00E76508" w:rsidP="00152065">
            <w:pPr>
              <w:jc w:val="center"/>
            </w:pPr>
            <w:r w:rsidRPr="0062273E">
              <w:t>1.</w:t>
            </w:r>
          </w:p>
        </w:tc>
        <w:tc>
          <w:tcPr>
            <w:tcW w:w="2700" w:type="dxa"/>
          </w:tcPr>
          <w:p w:rsidR="00E76508" w:rsidRPr="0062273E" w:rsidRDefault="00E76508" w:rsidP="00152065">
            <w:r w:rsidRPr="0062273E">
              <w:t>Pamatojums</w:t>
            </w:r>
          </w:p>
        </w:tc>
        <w:tc>
          <w:tcPr>
            <w:tcW w:w="5939" w:type="dxa"/>
          </w:tcPr>
          <w:p w:rsidR="00577126" w:rsidRDefault="00E76508" w:rsidP="00754B72">
            <w:pPr>
              <w:pStyle w:val="Standard"/>
              <w:jc w:val="both"/>
              <w:rPr>
                <w:rFonts w:ascii="Times New Roman" w:hAnsi="Times New Roman" w:cs="Times New Roman"/>
                <w:bCs/>
                <w:lang w:val="lv-LV"/>
              </w:rPr>
            </w:pPr>
            <w:r w:rsidRPr="00754B72">
              <w:rPr>
                <w:rFonts w:ascii="Times New Roman" w:hAnsi="Times New Roman" w:cs="Times New Roman"/>
                <w:bCs/>
                <w:lang w:val="lv-LV"/>
              </w:rPr>
              <w:t>Ministru kabineta noteikumu p</w:t>
            </w:r>
            <w:r w:rsidR="00466EB9" w:rsidRPr="00754B72">
              <w:rPr>
                <w:rFonts w:ascii="Times New Roman" w:hAnsi="Times New Roman" w:cs="Times New Roman"/>
                <w:bCs/>
                <w:lang w:val="lv-LV"/>
              </w:rPr>
              <w:t>rojekts</w:t>
            </w:r>
            <w:r w:rsidR="00577126">
              <w:rPr>
                <w:rFonts w:ascii="Times New Roman" w:hAnsi="Times New Roman" w:cs="Times New Roman"/>
                <w:bCs/>
                <w:lang w:val="lv-LV"/>
              </w:rPr>
              <w:t xml:space="preserve"> </w:t>
            </w:r>
            <w:r w:rsidR="00577126" w:rsidRPr="00577126">
              <w:rPr>
                <w:rFonts w:ascii="Times New Roman" w:hAnsi="Times New Roman" w:cs="Times New Roman"/>
                <w:lang w:val="lv-LV"/>
              </w:rPr>
              <w:t>„”</w:t>
            </w:r>
            <w:r w:rsidR="00577126" w:rsidRPr="00577126">
              <w:rPr>
                <w:rFonts w:ascii="Times New Roman" w:hAnsi="Times New Roman" w:cs="Times New Roman"/>
                <w:bCs/>
                <w:lang w:val="lv-LV"/>
              </w:rPr>
              <w:t>Grozījumi Ministru kabineta</w:t>
            </w:r>
            <w:r w:rsidR="00577126" w:rsidRPr="00577126">
              <w:rPr>
                <w:rFonts w:ascii="Times New Roman" w:eastAsia="Calibri" w:hAnsi="Times New Roman" w:cs="Times New Roman"/>
                <w:color w:val="656565"/>
                <w:sz w:val="16"/>
                <w:szCs w:val="16"/>
                <w:lang w:val="lv-LV" w:eastAsia="en-US"/>
              </w:rPr>
              <w:t xml:space="preserve"> </w:t>
            </w:r>
            <w:r w:rsidR="00577126" w:rsidRPr="00577126">
              <w:rPr>
                <w:rFonts w:ascii="Times New Roman" w:eastAsia="Calibri" w:hAnsi="Times New Roman" w:cs="Times New Roman"/>
                <w:lang w:val="lv-LV" w:eastAsia="en-US"/>
              </w:rPr>
              <w:t>2011.gada 21.jūnija noteikumos Nr.485 „Atsevišķu veidu bīstamo atkr</w:t>
            </w:r>
            <w:r w:rsidR="00577126">
              <w:rPr>
                <w:rFonts w:ascii="Times New Roman" w:eastAsia="Calibri" w:hAnsi="Times New Roman" w:cs="Times New Roman"/>
                <w:lang w:val="lv-LV" w:eastAsia="en-US"/>
              </w:rPr>
              <w:t>itumu apsaimniekošanas kārtība”” (turpmāk – noteikumu projekts)</w:t>
            </w:r>
            <w:r w:rsidR="00466EB9" w:rsidRPr="00754B72">
              <w:rPr>
                <w:rFonts w:ascii="Times New Roman" w:hAnsi="Times New Roman" w:cs="Times New Roman"/>
                <w:bCs/>
                <w:lang w:val="lv-LV"/>
              </w:rPr>
              <w:t xml:space="preserve"> i</w:t>
            </w:r>
            <w:r w:rsidR="00577126">
              <w:rPr>
                <w:rFonts w:ascii="Times New Roman" w:hAnsi="Times New Roman" w:cs="Times New Roman"/>
                <w:bCs/>
                <w:lang w:val="lv-LV"/>
              </w:rPr>
              <w:t>r</w:t>
            </w:r>
            <w:r w:rsidR="00696ABB">
              <w:rPr>
                <w:rFonts w:ascii="Times New Roman" w:hAnsi="Times New Roman" w:cs="Times New Roman"/>
                <w:bCs/>
                <w:lang w:val="lv-LV"/>
              </w:rPr>
              <w:t xml:space="preserve"> </w:t>
            </w:r>
            <w:r w:rsidR="00825085">
              <w:rPr>
                <w:rFonts w:ascii="Times New Roman" w:hAnsi="Times New Roman" w:cs="Times New Roman"/>
                <w:bCs/>
                <w:lang w:val="lv-LV"/>
              </w:rPr>
              <w:t>izstrādāts</w:t>
            </w:r>
            <w:r w:rsidR="00577126">
              <w:rPr>
                <w:rFonts w:ascii="Times New Roman" w:hAnsi="Times New Roman" w:cs="Times New Roman"/>
                <w:bCs/>
                <w:lang w:val="lv-LV"/>
              </w:rPr>
              <w:t>, lai:</w:t>
            </w:r>
          </w:p>
          <w:p w:rsidR="00577126" w:rsidRDefault="00754B72" w:rsidP="00577126">
            <w:pPr>
              <w:pStyle w:val="Standard"/>
              <w:numPr>
                <w:ilvl w:val="0"/>
                <w:numId w:val="3"/>
              </w:numPr>
              <w:jc w:val="both"/>
              <w:rPr>
                <w:rStyle w:val="StrongEmphasis"/>
                <w:rFonts w:ascii="Times New Roman" w:hAnsi="Times New Roman" w:cs="Times New Roman"/>
                <w:b w:val="0"/>
                <w:bCs w:val="0"/>
                <w:lang w:val="lv-LV"/>
              </w:rPr>
            </w:pPr>
            <w:r w:rsidRPr="00754B72">
              <w:rPr>
                <w:rFonts w:ascii="Times New Roman" w:hAnsi="Times New Roman" w:cs="Times New Roman"/>
                <w:bCs/>
                <w:lang w:val="lv-LV"/>
              </w:rPr>
              <w:t xml:space="preserve">nodrošinātu </w:t>
            </w:r>
            <w:r w:rsidRPr="00754B72">
              <w:rPr>
                <w:rStyle w:val="StrongEmphasis"/>
                <w:rFonts w:ascii="Times New Roman" w:hAnsi="Times New Roman" w:cs="Times New Roman"/>
                <w:b w:val="0"/>
                <w:bCs w:val="0"/>
                <w:lang w:val="lv-LV"/>
              </w:rPr>
              <w:t xml:space="preserve">Eiropas Parlamenta un </w:t>
            </w:r>
            <w:r>
              <w:rPr>
                <w:rStyle w:val="StrongEmphasis"/>
                <w:rFonts w:ascii="Times New Roman" w:hAnsi="Times New Roman" w:cs="Times New Roman"/>
                <w:b w:val="0"/>
                <w:bCs w:val="0"/>
                <w:lang w:val="lv-LV"/>
              </w:rPr>
              <w:t>Padomes 2013. gada 20.novembra d</w:t>
            </w:r>
            <w:r w:rsidRPr="00754B72">
              <w:rPr>
                <w:rStyle w:val="StrongEmphasis"/>
                <w:rFonts w:ascii="Times New Roman" w:hAnsi="Times New Roman" w:cs="Times New Roman"/>
                <w:b w:val="0"/>
                <w:bCs w:val="0"/>
                <w:lang w:val="lv-LV"/>
              </w:rPr>
              <w:t>irektīvas 2013/56/ES, ar ko groza Eiropas Parlamenta un Padomes Direktīvu 2006/66/EK par baterijām un akumulatoriem, un bateriju un akumulatoru atkritumiem attiecībā uz tādu kadmiju saturošu pārnēsājamu bateriju un akumulatoru laišanu tirgū, kurus paredzēts izmantot bezvada elektriskajos instrumentos, kā arī attiecībā uz podziņelementu ar nelielu dzīvsudraba saturu laišanu tirgū un ar ko atce</w:t>
            </w:r>
            <w:r>
              <w:rPr>
                <w:rStyle w:val="StrongEmphasis"/>
                <w:rFonts w:ascii="Times New Roman" w:hAnsi="Times New Roman" w:cs="Times New Roman"/>
                <w:b w:val="0"/>
                <w:bCs w:val="0"/>
                <w:lang w:val="lv-LV"/>
              </w:rPr>
              <w:t>ļ Komisijas Lēmumu 2009/603/EK</w:t>
            </w:r>
            <w:r w:rsidR="00577126">
              <w:rPr>
                <w:rStyle w:val="StrongEmphasis"/>
                <w:rFonts w:ascii="Times New Roman" w:hAnsi="Times New Roman" w:cs="Times New Roman"/>
                <w:b w:val="0"/>
                <w:bCs w:val="0"/>
                <w:lang w:val="lv-LV"/>
              </w:rPr>
              <w:t xml:space="preserve"> (turpmāk – Direktīva 2013/56/ES)</w:t>
            </w:r>
            <w:r>
              <w:rPr>
                <w:rStyle w:val="StrongEmphasis"/>
                <w:rFonts w:ascii="Times New Roman" w:hAnsi="Times New Roman" w:cs="Times New Roman"/>
                <w:b w:val="0"/>
                <w:bCs w:val="0"/>
                <w:lang w:val="lv-LV"/>
              </w:rPr>
              <w:t>, pārņemšan</w:t>
            </w:r>
            <w:r w:rsidR="00577126">
              <w:rPr>
                <w:rStyle w:val="StrongEmphasis"/>
                <w:rFonts w:ascii="Times New Roman" w:hAnsi="Times New Roman" w:cs="Times New Roman"/>
                <w:b w:val="0"/>
                <w:bCs w:val="0"/>
                <w:lang w:val="lv-LV"/>
              </w:rPr>
              <w:t>u Latvijas normatīvajos aktos;</w:t>
            </w:r>
          </w:p>
          <w:p w:rsidR="00E76508" w:rsidRPr="00754B72" w:rsidRDefault="00754B72" w:rsidP="000F5F68">
            <w:pPr>
              <w:pStyle w:val="Standard"/>
              <w:numPr>
                <w:ilvl w:val="0"/>
                <w:numId w:val="3"/>
              </w:numPr>
              <w:jc w:val="both"/>
              <w:rPr>
                <w:rFonts w:ascii="Times New Roman" w:hAnsi="Times New Roman" w:cs="Times New Roman"/>
                <w:lang w:val="lv-LV"/>
              </w:rPr>
            </w:pPr>
            <w:r>
              <w:rPr>
                <w:rStyle w:val="StrongEmphasis"/>
                <w:rFonts w:ascii="Times New Roman" w:hAnsi="Times New Roman" w:cs="Times New Roman"/>
                <w:b w:val="0"/>
                <w:bCs w:val="0"/>
                <w:lang w:val="lv-LV"/>
              </w:rPr>
              <w:t xml:space="preserve"> precizētu kārtību, kādā </w:t>
            </w:r>
            <w:r w:rsidR="000F5F68">
              <w:rPr>
                <w:rStyle w:val="StrongEmphasis"/>
                <w:rFonts w:ascii="Times New Roman" w:hAnsi="Times New Roman" w:cs="Times New Roman"/>
                <w:b w:val="0"/>
                <w:bCs w:val="0"/>
                <w:lang w:val="lv-LV"/>
              </w:rPr>
              <w:t xml:space="preserve">aprēķina </w:t>
            </w:r>
            <w:r w:rsidR="00577126">
              <w:rPr>
                <w:rStyle w:val="StrongEmphasis"/>
                <w:rFonts w:ascii="Times New Roman" w:hAnsi="Times New Roman" w:cs="Times New Roman"/>
                <w:b w:val="0"/>
                <w:bCs w:val="0"/>
                <w:lang w:val="lv-LV"/>
              </w:rPr>
              <w:t xml:space="preserve">pārstrādāto bateriju un akumulatoru </w:t>
            </w:r>
            <w:r w:rsidR="000F5F68">
              <w:rPr>
                <w:rStyle w:val="StrongEmphasis"/>
                <w:rFonts w:ascii="Times New Roman" w:hAnsi="Times New Roman" w:cs="Times New Roman"/>
                <w:b w:val="0"/>
                <w:bCs w:val="0"/>
                <w:lang w:val="lv-LV"/>
              </w:rPr>
              <w:t>apjomu</w:t>
            </w:r>
            <w:r w:rsidR="00577126">
              <w:rPr>
                <w:rStyle w:val="StrongEmphasis"/>
                <w:rFonts w:ascii="Times New Roman" w:hAnsi="Times New Roman" w:cs="Times New Roman"/>
                <w:b w:val="0"/>
                <w:bCs w:val="0"/>
                <w:lang w:val="lv-LV"/>
              </w:rPr>
              <w:t>, un kārtību, kādā sagatavo</w:t>
            </w:r>
            <w:r w:rsidR="00A129A2">
              <w:rPr>
                <w:rStyle w:val="StrongEmphasis"/>
                <w:rFonts w:ascii="Times New Roman" w:hAnsi="Times New Roman" w:cs="Times New Roman"/>
                <w:b w:val="0"/>
                <w:bCs w:val="0"/>
                <w:lang w:val="lv-LV"/>
              </w:rPr>
              <w:t xml:space="preserve">, </w:t>
            </w:r>
            <w:r>
              <w:rPr>
                <w:rStyle w:val="StrongEmphasis"/>
                <w:rFonts w:ascii="Times New Roman" w:hAnsi="Times New Roman" w:cs="Times New Roman"/>
                <w:b w:val="0"/>
                <w:bCs w:val="0"/>
                <w:lang w:val="lv-LV"/>
              </w:rPr>
              <w:t>apkopo</w:t>
            </w:r>
            <w:r w:rsidR="00A129A2">
              <w:rPr>
                <w:rStyle w:val="StrongEmphasis"/>
                <w:rFonts w:ascii="Times New Roman" w:hAnsi="Times New Roman" w:cs="Times New Roman"/>
                <w:b w:val="0"/>
                <w:bCs w:val="0"/>
                <w:lang w:val="lv-LV"/>
              </w:rPr>
              <w:t xml:space="preserve"> </w:t>
            </w:r>
            <w:r w:rsidR="00577126">
              <w:rPr>
                <w:rStyle w:val="StrongEmphasis"/>
                <w:rFonts w:ascii="Times New Roman" w:hAnsi="Times New Roman" w:cs="Times New Roman"/>
                <w:b w:val="0"/>
                <w:bCs w:val="0"/>
                <w:lang w:val="lv-LV"/>
              </w:rPr>
              <w:t xml:space="preserve">un </w:t>
            </w:r>
            <w:r w:rsidR="000F5F68">
              <w:rPr>
                <w:rStyle w:val="StrongEmphasis"/>
                <w:rFonts w:ascii="Times New Roman" w:hAnsi="Times New Roman" w:cs="Times New Roman"/>
                <w:b w:val="0"/>
                <w:bCs w:val="0"/>
                <w:lang w:val="lv-LV"/>
              </w:rPr>
              <w:t xml:space="preserve">iesniedz </w:t>
            </w:r>
            <w:r w:rsidR="00577126">
              <w:rPr>
                <w:rStyle w:val="StrongEmphasis"/>
                <w:rFonts w:ascii="Times New Roman" w:hAnsi="Times New Roman" w:cs="Times New Roman"/>
                <w:b w:val="0"/>
                <w:bCs w:val="0"/>
                <w:lang w:val="lv-LV"/>
              </w:rPr>
              <w:t>Eiropas Komisijā</w:t>
            </w:r>
            <w:r>
              <w:rPr>
                <w:rStyle w:val="StrongEmphasis"/>
                <w:rFonts w:ascii="Times New Roman" w:hAnsi="Times New Roman" w:cs="Times New Roman"/>
                <w:b w:val="0"/>
                <w:bCs w:val="0"/>
                <w:lang w:val="lv-LV"/>
              </w:rPr>
              <w:t xml:space="preserve"> </w:t>
            </w:r>
            <w:r w:rsidR="000F5F68">
              <w:rPr>
                <w:rStyle w:val="StrongEmphasis"/>
                <w:rFonts w:ascii="Times New Roman" w:hAnsi="Times New Roman" w:cs="Times New Roman"/>
                <w:b w:val="0"/>
                <w:bCs w:val="0"/>
                <w:lang w:val="lv-LV"/>
              </w:rPr>
              <w:t xml:space="preserve">ziņojumus </w:t>
            </w:r>
            <w:r>
              <w:rPr>
                <w:rStyle w:val="StrongEmphasis"/>
                <w:rFonts w:ascii="Times New Roman" w:hAnsi="Times New Roman" w:cs="Times New Roman"/>
                <w:b w:val="0"/>
                <w:bCs w:val="0"/>
                <w:lang w:val="lv-LV"/>
              </w:rPr>
              <w:t xml:space="preserve">par Latvijas tirgū laistajiem bateriju un akumulatoru apjomiem un par savāktajiem un pārstrādātajiem bateriju un akumulatoru atkritumiem. </w:t>
            </w:r>
          </w:p>
        </w:tc>
      </w:tr>
      <w:tr w:rsidR="00E76508" w:rsidRPr="00FB41DC" w:rsidTr="00152065">
        <w:tc>
          <w:tcPr>
            <w:tcW w:w="720" w:type="dxa"/>
          </w:tcPr>
          <w:p w:rsidR="00E76508" w:rsidRPr="00FB41DC" w:rsidRDefault="00E76508" w:rsidP="00152065">
            <w:pPr>
              <w:jc w:val="center"/>
            </w:pPr>
            <w:r w:rsidRPr="00FB41DC">
              <w:t>2.</w:t>
            </w:r>
          </w:p>
        </w:tc>
        <w:tc>
          <w:tcPr>
            <w:tcW w:w="2700" w:type="dxa"/>
          </w:tcPr>
          <w:p w:rsidR="00E76508" w:rsidRPr="00FB41DC" w:rsidRDefault="00E76508" w:rsidP="00152065">
            <w:r w:rsidRPr="00FB41DC">
              <w:t>Pašreizējā situācija un problēmas</w:t>
            </w:r>
            <w:r>
              <w:t xml:space="preserve">, </w:t>
            </w:r>
            <w:r w:rsidRPr="00D126DD">
              <w:t>kuru risināšanai tiesību akta projekts izstrādāts, tiesiskā regulējuma mērķis un būtība</w:t>
            </w:r>
          </w:p>
        </w:tc>
        <w:tc>
          <w:tcPr>
            <w:tcW w:w="5939" w:type="dxa"/>
          </w:tcPr>
          <w:p w:rsidR="00D41349" w:rsidRDefault="00D41349" w:rsidP="00D41349">
            <w:pPr>
              <w:pStyle w:val="tv2131"/>
              <w:spacing w:before="0" w:line="240" w:lineRule="auto"/>
              <w:ind w:firstLine="0"/>
              <w:rPr>
                <w:rFonts w:ascii="Times New Roman" w:hAnsi="Times New Roman"/>
                <w:sz w:val="24"/>
                <w:szCs w:val="24"/>
                <w:lang w:val="lv-LV"/>
              </w:rPr>
            </w:pPr>
            <w:r>
              <w:rPr>
                <w:rFonts w:ascii="Times New Roman" w:eastAsia="Calibri" w:hAnsi="Times New Roman"/>
                <w:sz w:val="24"/>
                <w:szCs w:val="24"/>
                <w:lang w:val="lv-LV"/>
              </w:rPr>
              <w:t>Pašreiz M</w:t>
            </w:r>
            <w:r w:rsidR="00DD521E">
              <w:rPr>
                <w:rFonts w:ascii="Times New Roman" w:eastAsia="Calibri" w:hAnsi="Times New Roman"/>
                <w:sz w:val="24"/>
                <w:szCs w:val="24"/>
                <w:lang w:val="lv-LV"/>
              </w:rPr>
              <w:t xml:space="preserve">inistru </w:t>
            </w:r>
            <w:r>
              <w:rPr>
                <w:rFonts w:ascii="Times New Roman" w:eastAsia="Calibri" w:hAnsi="Times New Roman"/>
                <w:sz w:val="24"/>
                <w:szCs w:val="24"/>
                <w:lang w:val="lv-LV"/>
              </w:rPr>
              <w:t>K</w:t>
            </w:r>
            <w:r w:rsidR="00DD521E">
              <w:rPr>
                <w:rFonts w:ascii="Times New Roman" w:eastAsia="Calibri" w:hAnsi="Times New Roman"/>
                <w:sz w:val="24"/>
                <w:szCs w:val="24"/>
                <w:lang w:val="lv-LV"/>
              </w:rPr>
              <w:t>abineta</w:t>
            </w:r>
            <w:r>
              <w:rPr>
                <w:rFonts w:ascii="Times New Roman" w:eastAsia="Calibri" w:hAnsi="Times New Roman"/>
                <w:sz w:val="24"/>
                <w:szCs w:val="24"/>
                <w:lang w:val="lv-LV"/>
              </w:rPr>
              <w:t xml:space="preserve"> noteikumi Nr.485 </w:t>
            </w:r>
            <w:r w:rsidR="00A9081E">
              <w:rPr>
                <w:rFonts w:ascii="Times New Roman" w:eastAsia="Calibri" w:hAnsi="Times New Roman"/>
                <w:sz w:val="24"/>
                <w:szCs w:val="24"/>
                <w:lang w:val="lv-LV"/>
              </w:rPr>
              <w:t>“</w:t>
            </w:r>
            <w:r w:rsidR="00A9081E" w:rsidRPr="00466EB9">
              <w:rPr>
                <w:rFonts w:ascii="Times New Roman" w:eastAsia="Calibri" w:hAnsi="Times New Roman"/>
                <w:sz w:val="24"/>
                <w:szCs w:val="24"/>
                <w:lang w:val="lv-LV"/>
              </w:rPr>
              <w:t xml:space="preserve">Atsevišķu veidu bīstamo atkritumu apsaimniekošanas kārtība” </w:t>
            </w:r>
            <w:r w:rsidR="00A9081E">
              <w:rPr>
                <w:rFonts w:ascii="Times New Roman" w:eastAsia="Calibri" w:hAnsi="Times New Roman"/>
                <w:sz w:val="24"/>
                <w:szCs w:val="24"/>
                <w:lang w:val="lv-LV"/>
              </w:rPr>
              <w:t>(turpmāk – MK noteikumi nr.485)</w:t>
            </w:r>
            <w:r w:rsidR="00332DB7">
              <w:rPr>
                <w:rFonts w:ascii="Times New Roman" w:eastAsia="Calibri" w:hAnsi="Times New Roman"/>
                <w:sz w:val="24"/>
                <w:szCs w:val="24"/>
                <w:lang w:val="lv-LV"/>
              </w:rPr>
              <w:t xml:space="preserve"> </w:t>
            </w:r>
            <w:r>
              <w:rPr>
                <w:rFonts w:ascii="Times New Roman" w:eastAsia="Calibri" w:hAnsi="Times New Roman"/>
                <w:sz w:val="24"/>
                <w:szCs w:val="24"/>
                <w:lang w:val="lv-LV"/>
              </w:rPr>
              <w:t>paredz, ka bateriju un akumulatoru atkritumu pārstrādes apjomu nosaka</w:t>
            </w:r>
            <w:r w:rsidRPr="00DF4EC9">
              <w:rPr>
                <w:lang w:val="lv-LV"/>
              </w:rPr>
              <w:t xml:space="preserve"> </w:t>
            </w:r>
            <w:r w:rsidRPr="00DF4EC9">
              <w:rPr>
                <w:rFonts w:ascii="Times New Roman" w:hAnsi="Times New Roman"/>
                <w:sz w:val="24"/>
                <w:szCs w:val="24"/>
                <w:lang w:val="lv-LV"/>
              </w:rPr>
              <w:t>procentos no to bateriju un akumulatoru atkritumu vidējā svara, kas nogādāti atkritumu apstrādes iekārtās iepriekšējā gadā</w:t>
            </w:r>
            <w:r>
              <w:rPr>
                <w:rFonts w:ascii="Times New Roman" w:hAnsi="Times New Roman"/>
                <w:sz w:val="24"/>
                <w:szCs w:val="24"/>
                <w:lang w:val="lv-LV"/>
              </w:rPr>
              <w:t xml:space="preserve">, </w:t>
            </w:r>
            <w:r w:rsidRPr="00071B76">
              <w:rPr>
                <w:rFonts w:ascii="Times New Roman" w:hAnsi="Times New Roman"/>
                <w:sz w:val="24"/>
                <w:szCs w:val="24"/>
                <w:lang w:val="lv-LV"/>
              </w:rPr>
              <w:t xml:space="preserve">savukārt </w:t>
            </w:r>
            <w:r w:rsidR="00332DB7" w:rsidRPr="00071B76">
              <w:rPr>
                <w:rFonts w:ascii="Times New Roman" w:hAnsi="Times New Roman"/>
                <w:sz w:val="24"/>
                <w:szCs w:val="24"/>
                <w:lang w:val="lv-LV"/>
              </w:rPr>
              <w:t>Eiropas Komisijas 2012.gada 11.jūnija regula Nr. 493/2012, ar ko saskaņā ar Eiropas Parlamenta un Padomes Direktīvu 2006/66/EK paredz sīki izstrādātus noteikumus attiecībā uz bateriju un akumulatoru atkritumu pārstrādes procesu pārstrādes mērķlielumu aprēķināšanu</w:t>
            </w:r>
            <w:r w:rsidR="00332DB7">
              <w:rPr>
                <w:rFonts w:ascii="Times New Roman" w:hAnsi="Times New Roman"/>
                <w:sz w:val="24"/>
                <w:szCs w:val="24"/>
                <w:lang w:val="lv-LV"/>
              </w:rPr>
              <w:t xml:space="preserve"> (turpmāk – Regula Nr.493/2012) </w:t>
            </w:r>
            <w:r>
              <w:rPr>
                <w:rFonts w:ascii="Times New Roman" w:hAnsi="Times New Roman"/>
                <w:sz w:val="24"/>
                <w:szCs w:val="24"/>
                <w:lang w:val="lv-LV"/>
              </w:rPr>
              <w:t xml:space="preserve">paredz atšķirīgu kārtību, kādā aprēķināmi pārstrādātie bateriju un akumulatoru atkritumu apjomi. </w:t>
            </w:r>
          </w:p>
          <w:p w:rsidR="00D41349" w:rsidRDefault="00D41349" w:rsidP="00D41349">
            <w:pPr>
              <w:pStyle w:val="tv213"/>
              <w:spacing w:before="0" w:beforeAutospacing="0" w:after="0" w:afterAutospacing="0"/>
              <w:jc w:val="both"/>
            </w:pPr>
          </w:p>
          <w:p w:rsidR="001B23F8" w:rsidRPr="004775CF" w:rsidRDefault="00D41349" w:rsidP="007B10E0">
            <w:pPr>
              <w:jc w:val="both"/>
            </w:pPr>
            <w:r>
              <w:t xml:space="preserve">MK noteikumi Nr.485 pašreiz nosaka, ka bateriju un akumulatoru ražotāji vai bateriju un akumulatoru atkritumu apsaimniekotāji (ja ražotājs ar tiem ir noslēdzis attiecīgu līgumu) katru gadu līdz 20.aprīlim par iepriekšējo </w:t>
            </w:r>
            <w:r>
              <w:lastRenderedPageBreak/>
              <w:t>kalendāra gadu iesniedz bateriju un akumulatoru ražotāju reģistrā ziņojumu par Latvijas tirgū laisto bateriju un akumulatoru pārdošanas apjomiem un par Latvijā savāktajiem un pārstrādātajiem bateriju un akumulatoru atkritumu apjomiem. Vides aizsardzības un reģionālās attīstības ministrija (turpmāk – VARAM), sagatavojot ziņojumus Eiropas Komisijai par bateriju un akumulatoru tirgū laistajiem apjomiem un par bateriju un akumulatoru atkritumu savākšanu un pārstrādi, ir konstatējusi, ka minētais ziņošanas biežums ir nepietiekams, lai varētu novērst MK noteikumos Nr.485 noteikto radītāju bateriju un akumulatoru atkritumu savākšanai un pārstrādei neizpildi. VARAM</w:t>
            </w:r>
            <w:r w:rsidR="00111AB6">
              <w:t xml:space="preserve"> </w:t>
            </w:r>
            <w:r>
              <w:t xml:space="preserve">uzskata, ka biežāka ziņojumu sniegšana var uzlabot iespējas </w:t>
            </w:r>
            <w:r w:rsidR="00DD521E">
              <w:t>kontrolēt</w:t>
            </w:r>
            <w:r>
              <w:t xml:space="preserve"> MK noteikumos Nr.485 noteikto rādītāju izpild</w:t>
            </w:r>
            <w:r w:rsidR="00DD521E">
              <w:t xml:space="preserve">i </w:t>
            </w:r>
            <w:r>
              <w:t xml:space="preserve">un savlaicīgi </w:t>
            </w:r>
            <w:r w:rsidR="00101FAB" w:rsidRPr="00101FAB">
              <w:t>konstatēt, ka pastāv risks</w:t>
            </w:r>
            <w:r>
              <w:t xml:space="preserve"> neizpildīt noteikumos</w:t>
            </w:r>
            <w:r w:rsidR="00111AB6">
              <w:t xml:space="preserve"> Nr.485</w:t>
            </w:r>
            <w:r>
              <w:t xml:space="preserve"> noteiktās prasības. Ievērojot minēto, noteikumu pr</w:t>
            </w:r>
            <w:r w:rsidR="00A9081E">
              <w:t>ojektā tiek paredzēts, ka bateriju un akumulatoru ražotāji biežāk iesniegs ziņojumus Bateriju un akumulatoru ražotāju reģistrā</w:t>
            </w:r>
            <w:r>
              <w:t xml:space="preserve"> par tirgū laisto bateriju un akumulatoru daudzumu un veidiem, paredzot, ka šāds ziņojum</w:t>
            </w:r>
            <w:r w:rsidR="001B23F8">
              <w:t>s tiek iesniegts reizi pusgadā</w:t>
            </w:r>
            <w:r>
              <w:t>, savukārt ziņojums par savākto un pārstrādāto bateriju un akumulatoru atkritumu veidiem un daudzumiem paredzēts iesniegt vienu reizi pusgadā.</w:t>
            </w:r>
            <w:r w:rsidR="001B23F8">
              <w:t xml:space="preserve"> </w:t>
            </w:r>
            <w:r w:rsidR="001B23F8" w:rsidRPr="004775CF">
              <w:t xml:space="preserve">VARAM norāda, ka bateriju un akumulatoru atkritumu apsaimniekošanas sistēmu ietvaros komersanti, kas saņem atbrīvojumu no DRN samaksas, paši deklarē saviem apsaimniekotājiem ar dabas resursu nodokli apliekamos bateriju un akumulatoru apjomus. Valsts ieņēmumu dienesta veikto pārbaužu rezultātā tika konstatēts, ka vairāki no pārbaudēs iesaistītajiem komersantiem nav norādījuši apsaimniekotājam visu radīto videi kaitīgo preču apjomu, kas būtu apliekams ar DRN, tādejādi faktiski nesamaksājot dabas resursu nodokli par daļu radītā apjoma. VARAM uzskata, ka salīdzinoši biežāka datu sniegšana par tirgū laistajiem bateriju un akumulatoru veidiem un daudzumiem varētu novērst gadījumus, kad netiek sniegti dati par visiem apjomiem. </w:t>
            </w:r>
          </w:p>
          <w:p w:rsidR="00D41349" w:rsidRPr="004775CF" w:rsidRDefault="00D41349" w:rsidP="00D41349">
            <w:pPr>
              <w:pStyle w:val="tv213"/>
              <w:spacing w:before="0" w:beforeAutospacing="0" w:after="0" w:afterAutospacing="0"/>
              <w:jc w:val="both"/>
            </w:pPr>
          </w:p>
          <w:p w:rsidR="00F43FE5" w:rsidRPr="004775CF" w:rsidRDefault="00F43FE5" w:rsidP="00D41349">
            <w:pPr>
              <w:pStyle w:val="tv213"/>
              <w:spacing w:before="0" w:beforeAutospacing="0" w:after="0" w:afterAutospacing="0"/>
              <w:jc w:val="both"/>
            </w:pPr>
            <w:r w:rsidRPr="004775CF">
              <w:t xml:space="preserve">Noteikumu projekts paredz, ka videi kaitīgo preču atkritumu apsaimniekotājs sniedz informāciju par katru bateriju un akumulatoru ražotāju atsevišķi attiecībā uz tā tirgū laistajiem bateriju un akumulatoru apjomiem, kā arī savāktajiem un pārstrādātajiem bateriju un akumulatoru apjomiem. Minētā norma ļauj iegūt informāciju par katra atsevišķa bateriju un akumulatoru ražotāja tirgū laisto bateriju un akumulatoru veidiem un apjomiem, kā arī par šo bateriju un akumulatoru atkritumu savākšanu un pārstrādi. Minētā informācija par katru bateriju un </w:t>
            </w:r>
            <w:r w:rsidRPr="004775CF">
              <w:lastRenderedPageBreak/>
              <w:t>akumulatoru ražotāju ir nepieciešama, ja bateriju un akumulatoru ražotājs pieņem lēmumu slēgt līgumu ar citu videi kaitīgo preču atkritumu apsaimniekotāju vai arī ja videi kaitīgo preču atkritumu apsaimniekotājs kļūst maksātnespējīgs.</w:t>
            </w:r>
          </w:p>
          <w:p w:rsidR="00071B76" w:rsidRDefault="00071B76" w:rsidP="00D41349">
            <w:pPr>
              <w:pStyle w:val="tv213"/>
              <w:spacing w:before="0" w:beforeAutospacing="0" w:after="0" w:afterAutospacing="0"/>
              <w:jc w:val="both"/>
            </w:pPr>
          </w:p>
          <w:p w:rsidR="00D41349" w:rsidRDefault="00D41349" w:rsidP="00D41349">
            <w:pPr>
              <w:pStyle w:val="tv213"/>
              <w:spacing w:before="0" w:beforeAutospacing="0" w:after="0" w:afterAutospacing="0"/>
              <w:jc w:val="both"/>
            </w:pPr>
            <w:r>
              <w:t>MK noteikumos Nr.485 līdz šim nav noteikta kārtība, kā bateriju un akumulatoru ražotāji vai bateriju un akumulatoru atkritumu apsaimniekotāji iesniegto ziņojumu apkopo un sagatavo</w:t>
            </w:r>
            <w:r w:rsidR="00071B76">
              <w:t xml:space="preserve"> </w:t>
            </w:r>
            <w:r>
              <w:t xml:space="preserve">iesniegšanai Eiropas Komisijā. </w:t>
            </w:r>
          </w:p>
          <w:p w:rsidR="00071B76" w:rsidRDefault="00071B76" w:rsidP="00D41349">
            <w:pPr>
              <w:pStyle w:val="tv2131"/>
              <w:spacing w:before="0" w:line="240" w:lineRule="auto"/>
              <w:ind w:firstLine="0"/>
              <w:rPr>
                <w:rFonts w:ascii="Times New Roman" w:hAnsi="Times New Roman"/>
                <w:sz w:val="24"/>
                <w:szCs w:val="24"/>
                <w:lang w:val="lv-LV"/>
              </w:rPr>
            </w:pPr>
          </w:p>
          <w:p w:rsidR="00332DB7" w:rsidRDefault="00D41349" w:rsidP="00D41349">
            <w:pPr>
              <w:pStyle w:val="tv2131"/>
              <w:spacing w:before="0" w:line="240" w:lineRule="auto"/>
              <w:ind w:firstLine="0"/>
              <w:rPr>
                <w:lang w:val="lv-LV"/>
              </w:rPr>
            </w:pPr>
            <w:r w:rsidRPr="00CC62B0">
              <w:rPr>
                <w:rFonts w:ascii="Times New Roman" w:hAnsi="Times New Roman"/>
                <w:sz w:val="24"/>
                <w:szCs w:val="24"/>
                <w:lang w:val="lv-LV"/>
              </w:rPr>
              <w:t>MK noteikumos Nr.485 2.pielikumā šobrīd nav iekļauta bateriju un akumulatoru klasifikācija atbilstoši to ķīmiskajam sastāvam, tādējādi ir precizēts noteikumu projekta</w:t>
            </w:r>
            <w:r w:rsidR="00A9081E" w:rsidRPr="00A9081E">
              <w:rPr>
                <w:rFonts w:ascii="Times New Roman" w:hAnsi="Times New Roman"/>
                <w:sz w:val="24"/>
                <w:szCs w:val="24"/>
                <w:lang w:val="lv-LV"/>
              </w:rPr>
              <w:t xml:space="preserve"> 2.pielikuma 2. </w:t>
            </w:r>
            <w:r w:rsidR="00A9081E">
              <w:rPr>
                <w:rFonts w:ascii="Times New Roman" w:hAnsi="Times New Roman"/>
                <w:sz w:val="24"/>
                <w:szCs w:val="24"/>
                <w:lang w:val="lv-LV"/>
              </w:rPr>
              <w:t>un 3.</w:t>
            </w:r>
            <w:r w:rsidRPr="00CC62B0">
              <w:rPr>
                <w:rFonts w:ascii="Times New Roman" w:hAnsi="Times New Roman"/>
                <w:sz w:val="24"/>
                <w:szCs w:val="24"/>
                <w:lang w:val="lv-LV"/>
              </w:rPr>
              <w:t>punkts</w:t>
            </w:r>
            <w:r w:rsidRPr="00CC62B0">
              <w:rPr>
                <w:lang w:val="lv-LV"/>
              </w:rPr>
              <w:t>.</w:t>
            </w:r>
          </w:p>
          <w:p w:rsidR="001B23F8" w:rsidRDefault="001B23F8" w:rsidP="00D41349">
            <w:pPr>
              <w:pStyle w:val="tv2131"/>
              <w:spacing w:before="0" w:line="240" w:lineRule="auto"/>
              <w:ind w:firstLine="0"/>
              <w:rPr>
                <w:lang w:val="lv-LV"/>
              </w:rPr>
            </w:pPr>
          </w:p>
          <w:p w:rsidR="00071B76" w:rsidRDefault="00071B76" w:rsidP="00D41349">
            <w:pPr>
              <w:pStyle w:val="tv2131"/>
              <w:spacing w:before="0" w:line="240" w:lineRule="auto"/>
              <w:ind w:firstLine="0"/>
              <w:rPr>
                <w:rFonts w:ascii="Times New Roman" w:hAnsi="Times New Roman"/>
                <w:sz w:val="24"/>
                <w:szCs w:val="24"/>
                <w:lang w:val="lv-LV"/>
              </w:rPr>
            </w:pPr>
          </w:p>
          <w:p w:rsidR="00577126" w:rsidRDefault="00577126" w:rsidP="00D41349">
            <w:pPr>
              <w:pStyle w:val="tv2131"/>
              <w:spacing w:before="0" w:line="240" w:lineRule="auto"/>
              <w:ind w:firstLine="0"/>
              <w:rPr>
                <w:rFonts w:ascii="Times New Roman" w:eastAsia="Calibri" w:hAnsi="Times New Roman"/>
                <w:sz w:val="24"/>
                <w:szCs w:val="24"/>
                <w:lang w:val="lv-LV"/>
              </w:rPr>
            </w:pPr>
            <w:r>
              <w:rPr>
                <w:rFonts w:ascii="Times New Roman" w:hAnsi="Times New Roman"/>
                <w:sz w:val="24"/>
                <w:szCs w:val="24"/>
                <w:lang w:val="lv-LV"/>
              </w:rPr>
              <w:t xml:space="preserve">Noteikumu projekts paredz izdarīt šādus grozījumus </w:t>
            </w:r>
            <w:r w:rsidR="00466EB9" w:rsidRPr="00466EB9">
              <w:rPr>
                <w:rFonts w:ascii="Times New Roman" w:hAnsi="Times New Roman"/>
                <w:bCs/>
                <w:sz w:val="24"/>
                <w:szCs w:val="24"/>
                <w:lang w:val="lv-LV"/>
              </w:rPr>
              <w:t>Ministru kabineta</w:t>
            </w:r>
            <w:r w:rsidR="00466EB9" w:rsidRPr="00466EB9">
              <w:rPr>
                <w:rFonts w:ascii="Times New Roman" w:eastAsia="Calibri" w:hAnsi="Times New Roman"/>
                <w:color w:val="656565"/>
                <w:sz w:val="24"/>
                <w:szCs w:val="24"/>
                <w:lang w:val="lv-LV"/>
              </w:rPr>
              <w:t xml:space="preserve"> </w:t>
            </w:r>
            <w:r w:rsidR="00466EB9" w:rsidRPr="00466EB9">
              <w:rPr>
                <w:rFonts w:ascii="Times New Roman" w:eastAsia="Calibri" w:hAnsi="Times New Roman"/>
                <w:sz w:val="24"/>
                <w:szCs w:val="24"/>
                <w:lang w:val="lv-LV"/>
              </w:rPr>
              <w:t>2011.gada 21</w:t>
            </w:r>
            <w:r>
              <w:rPr>
                <w:rFonts w:ascii="Times New Roman" w:eastAsia="Calibri" w:hAnsi="Times New Roman"/>
                <w:sz w:val="24"/>
                <w:szCs w:val="24"/>
                <w:lang w:val="lv-LV"/>
              </w:rPr>
              <w:t>.jūnija noteikumos</w:t>
            </w:r>
            <w:r w:rsidR="00CC62B0">
              <w:rPr>
                <w:rFonts w:ascii="Times New Roman" w:eastAsia="Calibri" w:hAnsi="Times New Roman"/>
                <w:sz w:val="24"/>
                <w:szCs w:val="24"/>
                <w:lang w:val="lv-LV"/>
              </w:rPr>
              <w:t xml:space="preserve"> Nr.485</w:t>
            </w:r>
            <w:r>
              <w:rPr>
                <w:rFonts w:ascii="Times New Roman" w:eastAsia="Calibri" w:hAnsi="Times New Roman"/>
                <w:sz w:val="24"/>
                <w:szCs w:val="24"/>
                <w:lang w:val="lv-LV"/>
              </w:rPr>
              <w:t>:</w:t>
            </w:r>
          </w:p>
          <w:p w:rsidR="00577126" w:rsidRPr="00053CF2" w:rsidRDefault="00332DB7" w:rsidP="004775CF">
            <w:pPr>
              <w:pStyle w:val="tv2131"/>
              <w:spacing w:before="0" w:line="240" w:lineRule="auto"/>
              <w:ind w:firstLine="0"/>
              <w:rPr>
                <w:rFonts w:ascii="Times New Roman" w:eastAsia="Calibri" w:hAnsi="Times New Roman"/>
                <w:sz w:val="24"/>
                <w:szCs w:val="24"/>
                <w:lang w:val="lv-LV"/>
              </w:rPr>
            </w:pPr>
            <w:r>
              <w:rPr>
                <w:rFonts w:ascii="Times New Roman" w:eastAsia="Calibri" w:hAnsi="Times New Roman"/>
                <w:sz w:val="24"/>
                <w:szCs w:val="24"/>
                <w:lang w:val="lv-LV"/>
              </w:rPr>
              <w:t>1)</w:t>
            </w:r>
            <w:r w:rsidR="00071B76">
              <w:rPr>
                <w:rFonts w:ascii="Times New Roman" w:eastAsia="Calibri" w:hAnsi="Times New Roman"/>
                <w:sz w:val="24"/>
                <w:szCs w:val="24"/>
                <w:lang w:val="lv-LV"/>
              </w:rPr>
              <w:t xml:space="preserve"> p</w:t>
            </w:r>
            <w:r w:rsidR="00577126" w:rsidRPr="00053CF2">
              <w:rPr>
                <w:rFonts w:ascii="Times New Roman" w:eastAsia="Calibri" w:hAnsi="Times New Roman"/>
                <w:sz w:val="24"/>
                <w:szCs w:val="24"/>
                <w:lang w:val="lv-LV"/>
              </w:rPr>
              <w:t>recizēt, ka ba</w:t>
            </w:r>
            <w:r w:rsidR="006113DD">
              <w:rPr>
                <w:rFonts w:ascii="Times New Roman" w:eastAsia="Calibri" w:hAnsi="Times New Roman"/>
                <w:sz w:val="24"/>
                <w:szCs w:val="24"/>
                <w:lang w:val="lv-LV"/>
              </w:rPr>
              <w:t>teriju un akumulatoru atkritumu</w:t>
            </w:r>
            <w:r w:rsidR="00577126" w:rsidRPr="00053CF2">
              <w:rPr>
                <w:rFonts w:ascii="Times New Roman" w:eastAsia="Calibri" w:hAnsi="Times New Roman"/>
                <w:sz w:val="24"/>
                <w:szCs w:val="24"/>
                <w:lang w:val="lv-LV"/>
              </w:rPr>
              <w:t xml:space="preserve"> </w:t>
            </w:r>
            <w:r w:rsidR="00577126" w:rsidRPr="00053CF2">
              <w:rPr>
                <w:rFonts w:ascii="Times New Roman" w:hAnsi="Times New Roman"/>
                <w:sz w:val="24"/>
                <w:szCs w:val="24"/>
                <w:lang w:val="lv-LV"/>
              </w:rPr>
              <w:t xml:space="preserve">pārstrādes apjomu nosaka atbilstoši </w:t>
            </w:r>
            <w:r w:rsidR="00B7150F">
              <w:rPr>
                <w:rFonts w:ascii="Times New Roman" w:hAnsi="Times New Roman"/>
                <w:sz w:val="24"/>
                <w:szCs w:val="24"/>
                <w:lang w:val="lv-LV"/>
              </w:rPr>
              <w:t>R</w:t>
            </w:r>
            <w:r w:rsidR="006113DD">
              <w:rPr>
                <w:rFonts w:ascii="Times New Roman" w:hAnsi="Times New Roman"/>
                <w:sz w:val="24"/>
                <w:szCs w:val="24"/>
                <w:lang w:val="lv-LV"/>
              </w:rPr>
              <w:t>egulai Nr. 493/2012</w:t>
            </w:r>
            <w:r w:rsidR="00577126" w:rsidRPr="00053CF2">
              <w:rPr>
                <w:rFonts w:ascii="Times New Roman" w:hAnsi="Times New Roman"/>
                <w:sz w:val="24"/>
                <w:szCs w:val="24"/>
                <w:lang w:val="lv-LV"/>
              </w:rPr>
              <w:t>;</w:t>
            </w:r>
          </w:p>
          <w:p w:rsidR="00577126" w:rsidRPr="00053CF2" w:rsidRDefault="004775CF" w:rsidP="00332DB7">
            <w:pPr>
              <w:pStyle w:val="tv2131"/>
              <w:spacing w:before="0" w:line="240" w:lineRule="auto"/>
              <w:ind w:firstLine="0"/>
              <w:rPr>
                <w:rFonts w:ascii="Times New Roman" w:eastAsia="Calibri" w:hAnsi="Times New Roman"/>
                <w:sz w:val="24"/>
                <w:szCs w:val="24"/>
                <w:lang w:val="lv-LV"/>
              </w:rPr>
            </w:pPr>
            <w:r>
              <w:rPr>
                <w:rFonts w:ascii="Times New Roman" w:eastAsia="Calibri" w:hAnsi="Times New Roman"/>
                <w:sz w:val="24"/>
                <w:szCs w:val="24"/>
                <w:lang w:val="lv-LV"/>
              </w:rPr>
              <w:t xml:space="preserve"> </w:t>
            </w:r>
            <w:r w:rsidR="00332DB7">
              <w:rPr>
                <w:rFonts w:ascii="Times New Roman" w:eastAsia="Calibri" w:hAnsi="Times New Roman"/>
                <w:sz w:val="24"/>
                <w:szCs w:val="24"/>
                <w:lang w:val="lv-LV"/>
              </w:rPr>
              <w:t>2)</w:t>
            </w:r>
            <w:r w:rsidR="00071B76">
              <w:rPr>
                <w:rFonts w:ascii="Times New Roman" w:eastAsia="Calibri" w:hAnsi="Times New Roman"/>
                <w:sz w:val="24"/>
                <w:szCs w:val="24"/>
                <w:lang w:val="lv-LV"/>
              </w:rPr>
              <w:t xml:space="preserve"> p</w:t>
            </w:r>
            <w:r w:rsidR="00577126" w:rsidRPr="00053CF2">
              <w:rPr>
                <w:rFonts w:ascii="Times New Roman" w:eastAsia="Calibri" w:hAnsi="Times New Roman"/>
                <w:sz w:val="24"/>
                <w:szCs w:val="24"/>
                <w:lang w:val="lv-LV"/>
              </w:rPr>
              <w:t>recizēt bateriju un akumulatoru ražotāju vai bateriju un akumulatoru atkritu</w:t>
            </w:r>
            <w:r w:rsidR="004C3656">
              <w:rPr>
                <w:rFonts w:ascii="Times New Roman" w:eastAsia="Calibri" w:hAnsi="Times New Roman"/>
                <w:sz w:val="24"/>
                <w:szCs w:val="24"/>
                <w:lang w:val="lv-LV"/>
              </w:rPr>
              <w:t>mu apsaimniekotāju ziņojumu par</w:t>
            </w:r>
            <w:r w:rsidR="00577126" w:rsidRPr="00053CF2">
              <w:rPr>
                <w:rFonts w:ascii="Times New Roman" w:hAnsi="Times New Roman"/>
                <w:sz w:val="24"/>
                <w:szCs w:val="24"/>
                <w:lang w:val="lv-LV"/>
              </w:rPr>
              <w:t xml:space="preserve"> Latvijas tirgū laisto bateriju un akumulatoru pārdošanas apjomiem un par</w:t>
            </w:r>
            <w:r w:rsidR="00577126" w:rsidRPr="00577126">
              <w:rPr>
                <w:sz w:val="28"/>
                <w:szCs w:val="28"/>
                <w:lang w:val="lv-LV"/>
              </w:rPr>
              <w:t xml:space="preserve"> </w:t>
            </w:r>
            <w:r w:rsidR="00577126" w:rsidRPr="00053CF2">
              <w:rPr>
                <w:rFonts w:ascii="Times New Roman" w:hAnsi="Times New Roman"/>
                <w:sz w:val="24"/>
                <w:szCs w:val="24"/>
                <w:lang w:val="lv-LV"/>
              </w:rPr>
              <w:t>Latvijā savākto bateriju un akumulatoru atkritumu apjomiem un par to pārstrādi iesniegšanas biežumu un termiņu;</w:t>
            </w:r>
          </w:p>
          <w:p w:rsidR="00C81DB3" w:rsidRDefault="00332DB7" w:rsidP="00332DB7">
            <w:pPr>
              <w:pStyle w:val="tv2131"/>
              <w:spacing w:before="0" w:line="240" w:lineRule="auto"/>
              <w:ind w:firstLine="0"/>
              <w:rPr>
                <w:rFonts w:ascii="Times New Roman" w:eastAsia="Calibri" w:hAnsi="Times New Roman"/>
                <w:sz w:val="24"/>
                <w:szCs w:val="24"/>
                <w:lang w:val="lv-LV"/>
              </w:rPr>
            </w:pPr>
            <w:r>
              <w:rPr>
                <w:rFonts w:ascii="Times New Roman" w:eastAsia="Calibri" w:hAnsi="Times New Roman"/>
                <w:sz w:val="24"/>
                <w:szCs w:val="24"/>
                <w:lang w:val="lv-LV"/>
              </w:rPr>
              <w:t xml:space="preserve"> 3)</w:t>
            </w:r>
            <w:r w:rsidR="00071B76">
              <w:rPr>
                <w:rFonts w:ascii="Times New Roman" w:eastAsia="Calibri" w:hAnsi="Times New Roman"/>
                <w:sz w:val="24"/>
                <w:szCs w:val="24"/>
                <w:lang w:val="lv-LV"/>
              </w:rPr>
              <w:t xml:space="preserve"> p</w:t>
            </w:r>
            <w:r w:rsidR="00BC4893" w:rsidRPr="00053CF2">
              <w:rPr>
                <w:rFonts w:ascii="Times New Roman" w:eastAsia="Calibri" w:hAnsi="Times New Roman"/>
                <w:sz w:val="24"/>
                <w:szCs w:val="24"/>
                <w:lang w:val="lv-LV"/>
              </w:rPr>
              <w:t xml:space="preserve">recizēt </w:t>
            </w:r>
            <w:r>
              <w:rPr>
                <w:rFonts w:ascii="Times New Roman" w:eastAsia="Calibri" w:hAnsi="Times New Roman"/>
                <w:sz w:val="24"/>
                <w:szCs w:val="24"/>
                <w:lang w:val="lv-LV"/>
              </w:rPr>
              <w:t>k</w:t>
            </w:r>
            <w:r w:rsidR="00577126" w:rsidRPr="00053CF2">
              <w:rPr>
                <w:rFonts w:ascii="Times New Roman" w:eastAsia="Calibri" w:hAnsi="Times New Roman"/>
                <w:sz w:val="24"/>
                <w:szCs w:val="24"/>
                <w:lang w:val="lv-LV"/>
              </w:rPr>
              <w:t>ārtību, kādā Vides aizsardzības un reģionālās attīstības ministrija vai tās pilnvarota instit</w:t>
            </w:r>
            <w:r w:rsidR="00BC4893" w:rsidRPr="00053CF2">
              <w:rPr>
                <w:rFonts w:ascii="Times New Roman" w:eastAsia="Calibri" w:hAnsi="Times New Roman"/>
                <w:sz w:val="24"/>
                <w:szCs w:val="24"/>
                <w:lang w:val="lv-LV"/>
              </w:rPr>
              <w:t xml:space="preserve">ūcija apkopo </w:t>
            </w:r>
            <w:r w:rsidR="00BC4893" w:rsidRPr="00053CF2">
              <w:rPr>
                <w:rFonts w:ascii="Times New Roman" w:hAnsi="Times New Roman"/>
                <w:sz w:val="24"/>
                <w:szCs w:val="24"/>
                <w:lang w:val="lv-LV"/>
              </w:rPr>
              <w:t>informāciju, arī veicot attiecīgus aprēķinus, par Latvijas tirgū laisto bateriju un akumulatoru pārdošanas apjomiem un par Latvijā savākto bateriju un akumulatoru atkritumu apjomiem un par to pārstrādi;</w:t>
            </w:r>
          </w:p>
          <w:p w:rsidR="00E76508" w:rsidRPr="004C3656" w:rsidRDefault="00332DB7" w:rsidP="00BC4893">
            <w:pPr>
              <w:pStyle w:val="tv2131"/>
              <w:spacing w:before="0" w:line="240" w:lineRule="auto"/>
              <w:ind w:firstLine="0"/>
              <w:rPr>
                <w:lang w:val="lv-LV"/>
              </w:rPr>
            </w:pPr>
            <w:r>
              <w:rPr>
                <w:rFonts w:ascii="Times New Roman" w:eastAsia="Calibri" w:hAnsi="Times New Roman"/>
                <w:sz w:val="24"/>
                <w:szCs w:val="24"/>
                <w:lang w:val="lv-LV"/>
              </w:rPr>
              <w:t xml:space="preserve"> </w:t>
            </w:r>
            <w:r w:rsidR="00C81DB3">
              <w:rPr>
                <w:rFonts w:ascii="Times New Roman" w:eastAsia="Calibri" w:hAnsi="Times New Roman"/>
                <w:sz w:val="24"/>
                <w:szCs w:val="24"/>
                <w:lang w:val="lv-LV"/>
              </w:rPr>
              <w:t xml:space="preserve">4) </w:t>
            </w:r>
            <w:r w:rsidR="002A7046" w:rsidRPr="00C81DB3">
              <w:rPr>
                <w:rFonts w:ascii="Times New Roman" w:eastAsia="Calibri" w:hAnsi="Times New Roman"/>
                <w:sz w:val="24"/>
                <w:szCs w:val="24"/>
                <w:lang w:val="lv-LV"/>
              </w:rPr>
              <w:t>p</w:t>
            </w:r>
            <w:r w:rsidR="00BC4893" w:rsidRPr="00C81DB3">
              <w:rPr>
                <w:rFonts w:ascii="Times New Roman" w:eastAsia="Calibri" w:hAnsi="Times New Roman"/>
                <w:sz w:val="24"/>
                <w:szCs w:val="24"/>
                <w:lang w:val="lv-LV"/>
              </w:rPr>
              <w:t>recizēt bateriju un akumulatoru klasifikāciju, ņemto vērā bateriju un akumulatoru ķīmisko sastāvu.</w:t>
            </w:r>
          </w:p>
        </w:tc>
      </w:tr>
      <w:tr w:rsidR="00E76508" w:rsidRPr="00FB41DC" w:rsidTr="00152065">
        <w:tc>
          <w:tcPr>
            <w:tcW w:w="720" w:type="dxa"/>
          </w:tcPr>
          <w:p w:rsidR="00E76508" w:rsidRDefault="00E76508" w:rsidP="00152065">
            <w:pPr>
              <w:jc w:val="center"/>
            </w:pPr>
            <w:r>
              <w:lastRenderedPageBreak/>
              <w:t>3</w:t>
            </w:r>
            <w:r w:rsidRPr="00FB41DC">
              <w:t>.</w:t>
            </w:r>
          </w:p>
          <w:p w:rsidR="0019190F" w:rsidRDefault="0019190F" w:rsidP="00152065">
            <w:pPr>
              <w:jc w:val="center"/>
            </w:pPr>
          </w:p>
          <w:p w:rsidR="0019190F" w:rsidRPr="00FB41DC" w:rsidRDefault="0019190F" w:rsidP="00152065">
            <w:pPr>
              <w:jc w:val="center"/>
            </w:pPr>
          </w:p>
        </w:tc>
        <w:tc>
          <w:tcPr>
            <w:tcW w:w="2700" w:type="dxa"/>
          </w:tcPr>
          <w:p w:rsidR="00E76508" w:rsidRPr="00FB41DC" w:rsidRDefault="00E76508" w:rsidP="00152065">
            <w:r w:rsidRPr="00FB41DC">
              <w:t>Projekta izstrādē iesaistītās institūcijas</w:t>
            </w:r>
          </w:p>
        </w:tc>
        <w:tc>
          <w:tcPr>
            <w:tcW w:w="5939" w:type="dxa"/>
          </w:tcPr>
          <w:p w:rsidR="00E76508" w:rsidRPr="00FB41DC" w:rsidRDefault="00E76508" w:rsidP="004C3656">
            <w:pPr>
              <w:pStyle w:val="naiskr"/>
              <w:jc w:val="both"/>
            </w:pPr>
            <w:r>
              <w:t>Vides aizsardzības un reģionālās attīstības ministrija</w:t>
            </w:r>
            <w:r w:rsidR="00754B72">
              <w:t xml:space="preserve">, Latvijas </w:t>
            </w:r>
            <w:r w:rsidR="004C3656">
              <w:t xml:space="preserve">Vides aizsardzības fonda administrācija, biedrība “Latvijas Elektrotehnikas un </w:t>
            </w:r>
            <w:r w:rsidR="0019190F">
              <w:t xml:space="preserve">elektronikas rūpniecības asociācija”. </w:t>
            </w:r>
          </w:p>
        </w:tc>
      </w:tr>
      <w:tr w:rsidR="00E76508" w:rsidRPr="00FB41DC" w:rsidTr="00152065">
        <w:trPr>
          <w:trHeight w:val="571"/>
        </w:trPr>
        <w:tc>
          <w:tcPr>
            <w:tcW w:w="720" w:type="dxa"/>
          </w:tcPr>
          <w:p w:rsidR="00E76508" w:rsidRPr="00FB41DC" w:rsidRDefault="00E76508" w:rsidP="00152065">
            <w:pPr>
              <w:jc w:val="center"/>
            </w:pPr>
            <w:r>
              <w:t>4</w:t>
            </w:r>
            <w:r w:rsidRPr="00FB41DC">
              <w:t>.</w:t>
            </w:r>
          </w:p>
        </w:tc>
        <w:tc>
          <w:tcPr>
            <w:tcW w:w="2700" w:type="dxa"/>
          </w:tcPr>
          <w:p w:rsidR="00E76508" w:rsidRPr="00FB41DC" w:rsidRDefault="00E76508" w:rsidP="00152065">
            <w:r w:rsidRPr="00FB41DC">
              <w:t>Cita informācija</w:t>
            </w:r>
          </w:p>
        </w:tc>
        <w:tc>
          <w:tcPr>
            <w:tcW w:w="5939" w:type="dxa"/>
          </w:tcPr>
          <w:p w:rsidR="00E76508" w:rsidRPr="00FB41DC" w:rsidRDefault="00E76508" w:rsidP="00152065">
            <w:pPr>
              <w:jc w:val="both"/>
            </w:pPr>
            <w:r>
              <w:t>Nav.</w:t>
            </w:r>
          </w:p>
        </w:tc>
      </w:tr>
    </w:tbl>
    <w:p w:rsidR="00E76508" w:rsidRPr="00FB41DC" w:rsidRDefault="00E76508" w:rsidP="00E765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E76508" w:rsidRPr="00FB41DC" w:rsidTr="00152065">
        <w:tc>
          <w:tcPr>
            <w:tcW w:w="9287" w:type="dxa"/>
            <w:gridSpan w:val="3"/>
          </w:tcPr>
          <w:p w:rsidR="00E76508" w:rsidRPr="00FB41DC" w:rsidRDefault="00E76508" w:rsidP="00152065">
            <w:pPr>
              <w:jc w:val="center"/>
              <w:rPr>
                <w:b/>
              </w:rPr>
            </w:pPr>
            <w:r w:rsidRPr="00FB41DC">
              <w:rPr>
                <w:b/>
              </w:rPr>
              <w:t>II. Tiesību akta projekta ietekme uz sabiedrību</w:t>
            </w:r>
          </w:p>
        </w:tc>
      </w:tr>
      <w:tr w:rsidR="00E76508" w:rsidRPr="00FB41DC" w:rsidTr="00152065">
        <w:tc>
          <w:tcPr>
            <w:tcW w:w="648" w:type="dxa"/>
          </w:tcPr>
          <w:p w:rsidR="00E76508" w:rsidRPr="00FB41DC" w:rsidRDefault="00E76508" w:rsidP="00152065">
            <w:pPr>
              <w:jc w:val="center"/>
            </w:pPr>
            <w:r w:rsidRPr="00FB41DC">
              <w:t>1.</w:t>
            </w:r>
          </w:p>
        </w:tc>
        <w:tc>
          <w:tcPr>
            <w:tcW w:w="2700" w:type="dxa"/>
          </w:tcPr>
          <w:p w:rsidR="00E76508" w:rsidRPr="00FB41DC" w:rsidRDefault="00E76508" w:rsidP="00152065">
            <w:r w:rsidRPr="00FB41DC">
              <w:t>Sabiedrības mērķgrupa</w:t>
            </w:r>
            <w:r>
              <w:t xml:space="preserve">s, kuras tiesiskais regulējums </w:t>
            </w:r>
            <w:r w:rsidRPr="00FB41DC">
              <w:t xml:space="preserve"> ietekmē vai varētu ietekmēt</w:t>
            </w:r>
          </w:p>
        </w:tc>
        <w:tc>
          <w:tcPr>
            <w:tcW w:w="5939" w:type="dxa"/>
          </w:tcPr>
          <w:p w:rsidR="0019190F" w:rsidRDefault="006D3C3D" w:rsidP="0019190F">
            <w:pPr>
              <w:pStyle w:val="ListParagraph"/>
              <w:numPr>
                <w:ilvl w:val="0"/>
                <w:numId w:val="5"/>
              </w:numPr>
              <w:jc w:val="both"/>
            </w:pPr>
            <w:r>
              <w:t>5</w:t>
            </w:r>
            <w:r w:rsidR="0019190F">
              <w:t xml:space="preserve"> videi kaitīgo preču atkritumu apsaimniekotāji, kam ir tiesības saviem līgumpartneriem piešķirt atbrīvojumu no dabas resursu nodokļa samaksas par videi kaitīgām precēm;</w:t>
            </w:r>
          </w:p>
          <w:p w:rsidR="0019190F" w:rsidRDefault="0019190F" w:rsidP="0019190F">
            <w:pPr>
              <w:pStyle w:val="ListParagraph"/>
              <w:numPr>
                <w:ilvl w:val="0"/>
                <w:numId w:val="5"/>
              </w:numPr>
              <w:jc w:val="both"/>
            </w:pPr>
            <w:r>
              <w:t xml:space="preserve">5 bīstamo atkritumu apsaimniekošanas komersanti, kuri veic bateriju un akumulatoru atkritumu </w:t>
            </w:r>
            <w:r>
              <w:lastRenderedPageBreak/>
              <w:t xml:space="preserve">pārvadājumus, lai minētos atkritumus nogādātu pārstrādei citās Eiropas Savienības valstīs, tā kā Latvijā nav pārstrādes iekārtu šādu atkritumu pārstrādei. </w:t>
            </w:r>
          </w:p>
          <w:p w:rsidR="00E76508" w:rsidRPr="00FB41DC" w:rsidRDefault="00E76508" w:rsidP="00152065">
            <w:pPr>
              <w:jc w:val="both"/>
            </w:pPr>
          </w:p>
        </w:tc>
      </w:tr>
      <w:tr w:rsidR="00E76508" w:rsidRPr="00CC4F9A" w:rsidTr="00152065">
        <w:tc>
          <w:tcPr>
            <w:tcW w:w="648" w:type="dxa"/>
            <w:shd w:val="clear" w:color="auto" w:fill="auto"/>
          </w:tcPr>
          <w:p w:rsidR="00E76508" w:rsidRPr="00CC4F9A" w:rsidRDefault="00E76508" w:rsidP="00152065">
            <w:pPr>
              <w:jc w:val="center"/>
              <w:rPr>
                <w:highlight w:val="yellow"/>
              </w:rPr>
            </w:pPr>
            <w:r>
              <w:lastRenderedPageBreak/>
              <w:t>2</w:t>
            </w:r>
            <w:r w:rsidRPr="00331BA5">
              <w:t>.</w:t>
            </w:r>
          </w:p>
        </w:tc>
        <w:tc>
          <w:tcPr>
            <w:tcW w:w="2700" w:type="dxa"/>
            <w:shd w:val="clear" w:color="auto" w:fill="FFFFFF"/>
          </w:tcPr>
          <w:p w:rsidR="00E76508" w:rsidRPr="00CC4F9A" w:rsidRDefault="00E76508" w:rsidP="00152065">
            <w:pPr>
              <w:rPr>
                <w:highlight w:val="yellow"/>
              </w:rPr>
            </w:pPr>
            <w:r w:rsidRPr="00331BA5">
              <w:t xml:space="preserve">Tiesiskā regulējuma </w:t>
            </w:r>
            <w:r>
              <w:t>ietekme uz tautsaimniecību un administratīvo slogu</w:t>
            </w:r>
          </w:p>
        </w:tc>
        <w:tc>
          <w:tcPr>
            <w:tcW w:w="5939" w:type="dxa"/>
            <w:shd w:val="clear" w:color="auto" w:fill="auto"/>
          </w:tcPr>
          <w:p w:rsidR="006D3C3D" w:rsidRDefault="00515B5A" w:rsidP="006D3C3D">
            <w:pPr>
              <w:jc w:val="both"/>
            </w:pPr>
            <w:r>
              <w:t>Noteikumu projekt</w:t>
            </w:r>
            <w:r w:rsidR="003575A4">
              <w:t>a</w:t>
            </w:r>
            <w:r>
              <w:t xml:space="preserve"> spēkā stāšanās rezultātā videi </w:t>
            </w:r>
            <w:r w:rsidR="006D3C3D">
              <w:t>kaitīgo preču atkritumu apsaimniekotāji</w:t>
            </w:r>
            <w:r w:rsidR="00A9081E">
              <w:t xml:space="preserve"> biežāk iesniegs Bateriju un akumulatoru ražotāju reģistrā</w:t>
            </w:r>
            <w:r w:rsidR="003575A4">
              <w:t xml:space="preserve"> </w:t>
            </w:r>
            <w:r w:rsidR="00737D55">
              <w:t>ziņo</w:t>
            </w:r>
            <w:r w:rsidR="00A9081E">
              <w:t xml:space="preserve">jumus </w:t>
            </w:r>
            <w:r w:rsidR="0049225E">
              <w:t xml:space="preserve"> </w:t>
            </w:r>
            <w:r w:rsidR="006D3C3D">
              <w:t xml:space="preserve"> par Latvijas tirgū laisto bateriju un akumulatoru pārdoš</w:t>
            </w:r>
            <w:r w:rsidR="00737D55">
              <w:t>anas apjomiem</w:t>
            </w:r>
            <w:r w:rsidR="006D3C3D">
              <w:t xml:space="preserve"> un par Latvijā savāktajiem un pārstrādātajiem bateriju un akumulatoru atkritumu apjomiem</w:t>
            </w:r>
            <w:r w:rsidR="00F77343">
              <w:t>.</w:t>
            </w:r>
          </w:p>
          <w:p w:rsidR="00E76508" w:rsidRPr="00DB4477" w:rsidRDefault="00327C46" w:rsidP="00065838">
            <w:pPr>
              <w:jc w:val="both"/>
            </w:pPr>
            <w:r>
              <w:t>Minētā prasība neattieksies uz</w:t>
            </w:r>
            <w:r w:rsidR="00CC62B0">
              <w:t xml:space="preserve"> </w:t>
            </w:r>
            <w:r w:rsidR="006D3C3D">
              <w:t>bīstamo atkritumu apsaimniekošanas komersanti</w:t>
            </w:r>
            <w:r>
              <w:t>em</w:t>
            </w:r>
            <w:r w:rsidR="006D3C3D">
              <w:t xml:space="preserve">, </w:t>
            </w:r>
            <w:r w:rsidR="00817E7E">
              <w:t xml:space="preserve">kas </w:t>
            </w:r>
            <w:r w:rsidR="006D3C3D">
              <w:t>veic bateriju un akumulatoru atkritumu pārvadājumus, lai minētos atkritumus nogādātu pārstrādei citās Eiropas Savienības valstīs, tā kā Latvijā nav pārstrādes iekārtu šādu atkritumu pārstrādei</w:t>
            </w:r>
            <w:r w:rsidR="00E76508">
              <w:t>.</w:t>
            </w:r>
          </w:p>
        </w:tc>
      </w:tr>
      <w:tr w:rsidR="00E76508" w:rsidRPr="00CC4F9A" w:rsidTr="00152065">
        <w:tc>
          <w:tcPr>
            <w:tcW w:w="648" w:type="dxa"/>
          </w:tcPr>
          <w:p w:rsidR="00E76508" w:rsidRPr="002B44D8" w:rsidRDefault="00E76508" w:rsidP="00152065">
            <w:pPr>
              <w:jc w:val="center"/>
            </w:pPr>
            <w:r>
              <w:t>3</w:t>
            </w:r>
            <w:r w:rsidRPr="002B44D8">
              <w:t>.</w:t>
            </w:r>
          </w:p>
        </w:tc>
        <w:tc>
          <w:tcPr>
            <w:tcW w:w="2700" w:type="dxa"/>
          </w:tcPr>
          <w:p w:rsidR="00E76508" w:rsidRPr="002B44D8" w:rsidRDefault="00E76508" w:rsidP="00152065">
            <w:r>
              <w:t>Administratīvo izmaksu monetārs novērtējums</w:t>
            </w:r>
          </w:p>
        </w:tc>
        <w:tc>
          <w:tcPr>
            <w:tcW w:w="5939" w:type="dxa"/>
          </w:tcPr>
          <w:p w:rsidR="00384860" w:rsidRDefault="00384860" w:rsidP="00384860">
            <w:pPr>
              <w:jc w:val="both"/>
            </w:pPr>
            <w:r>
              <w:t>1.</w:t>
            </w:r>
            <w:r w:rsidR="002C71E0">
              <w:t xml:space="preserve">Administratīvo izmaksu monetārs novērtējums </w:t>
            </w:r>
            <w:r w:rsidR="006860C9">
              <w:t xml:space="preserve">ziņojuma sniegšanai </w:t>
            </w:r>
            <w:r w:rsidR="002C71E0">
              <w:t>par Latvijas tirgū laisto bateriju un akumulatoru veidiem un daudzumiem</w:t>
            </w:r>
            <w:r>
              <w:t>:</w:t>
            </w:r>
          </w:p>
          <w:p w:rsidR="00384860" w:rsidRDefault="00384860" w:rsidP="00384860">
            <w:pPr>
              <w:jc w:val="both"/>
            </w:pPr>
          </w:p>
          <w:p w:rsidR="00384860" w:rsidRDefault="00384860" w:rsidP="00384860">
            <w:pPr>
              <w:ind w:left="360"/>
              <w:jc w:val="both"/>
            </w:pPr>
            <w:r>
              <w:t>C = (f x l) x (n x b), kur</w:t>
            </w:r>
          </w:p>
          <w:p w:rsidR="00384860" w:rsidRDefault="00384860" w:rsidP="00384860">
            <w:pPr>
              <w:pStyle w:val="tv213"/>
            </w:pPr>
            <w:r>
              <w:t>C – informācijas sniegšanas pienākuma radītās izmaksas jeb administratīvās izmaksas;</w:t>
            </w:r>
          </w:p>
          <w:p w:rsidR="00384860" w:rsidRDefault="00384860" w:rsidP="00384860">
            <w:pPr>
              <w:pStyle w:val="tv213"/>
            </w:pPr>
            <w:r>
              <w:t xml:space="preserve">f – finanšu līdzekļu apjoms, kas nepieciešams, lai nodrošinātu projektā paredzētā informācijas sniegšanas pienākuma izpildi (stundas samaksas likme, ieskaitot virsstundas vai stundas limitu ārējo pakalpojumu sniedzējiem, ja tādi ir) – privātajā sektorā stundas likme ir aprēķināta, dalot vidējo mēneša algu privātajā sektorā  </w:t>
            </w:r>
            <w:r>
              <w:rPr>
                <w:rStyle w:val="FootnoteReference"/>
              </w:rPr>
              <w:footnoteReference w:id="1"/>
            </w:r>
            <w:r>
              <w:t xml:space="preserve"> (741</w:t>
            </w:r>
            <w:r w:rsidR="003575A4">
              <w:t xml:space="preserve">,00 </w:t>
            </w:r>
            <w:r>
              <w:t xml:space="preserve"> </w:t>
            </w:r>
            <w:r w:rsidRPr="003575A4">
              <w:rPr>
                <w:i/>
              </w:rPr>
              <w:t>euro</w:t>
            </w:r>
            <w:r>
              <w:t xml:space="preserve">) ar Darba likuma 131.panta pirmajā daļā minēto normālo darba laiku (40 stundas nedēļā x4 =160 stundas mēnesī) = 4,63 </w:t>
            </w:r>
            <w:r w:rsidRPr="003575A4">
              <w:rPr>
                <w:i/>
              </w:rPr>
              <w:t>euro</w:t>
            </w:r>
            <w:r>
              <w:t>;</w:t>
            </w:r>
          </w:p>
          <w:p w:rsidR="00384860" w:rsidRDefault="00384860" w:rsidP="00384860">
            <w:pPr>
              <w:pStyle w:val="tv213"/>
            </w:pPr>
            <w:r>
              <w:t xml:space="preserve">l – laika patēriņš, kas nepieciešams, lai sagatavotu informāciju, kuras sniegšanu paredz projekts – 40 darba stundas, ņemot vērā, ka ir nepieciešams apkopot līgumpartneru sniegto informāciju par Latvijas tirgū laisto bateriju un akumulatoru veidiem un daudzumiem: </w:t>
            </w:r>
          </w:p>
          <w:p w:rsidR="00384860" w:rsidRDefault="00384860" w:rsidP="00384860">
            <w:pPr>
              <w:pStyle w:val="tv213"/>
            </w:pPr>
            <w:r>
              <w:t>n – subjektu skaits, uz ko attiecas projektā paredzētās informācijas sniegšanas prasības –</w:t>
            </w:r>
            <w:r w:rsidR="00477113">
              <w:t xml:space="preserve"> 5 videi kaitīgo preču atkritumu apsaimniekotāji</w:t>
            </w:r>
            <w:r>
              <w:t>;</w:t>
            </w:r>
          </w:p>
          <w:p w:rsidR="00384860" w:rsidRDefault="00384860" w:rsidP="00384860">
            <w:pPr>
              <w:pStyle w:val="tv213"/>
            </w:pPr>
            <w:r>
              <w:t xml:space="preserve">b – cik bieži gada laikā projekts paredz informācijas </w:t>
            </w:r>
            <w:r>
              <w:lastRenderedPageBreak/>
              <w:t>sniegšanu - 4.</w:t>
            </w:r>
          </w:p>
          <w:p w:rsidR="00384860" w:rsidRDefault="00384860" w:rsidP="00384860">
            <w:pPr>
              <w:pStyle w:val="tv213"/>
            </w:pPr>
            <w:r>
              <w:t>Aprēķins: C= (4,63 x 40)x (5x 4) = 185,2 x 20= 3704</w:t>
            </w:r>
            <w:r w:rsidR="003575A4">
              <w:t>,00</w:t>
            </w:r>
            <w:r>
              <w:t xml:space="preserve"> </w:t>
            </w:r>
            <w:r w:rsidRPr="003575A4">
              <w:rPr>
                <w:i/>
              </w:rPr>
              <w:t>euro</w:t>
            </w:r>
          </w:p>
          <w:p w:rsidR="00384860" w:rsidRDefault="00384860" w:rsidP="00384860">
            <w:pPr>
              <w:jc w:val="both"/>
            </w:pPr>
            <w:r>
              <w:t xml:space="preserve">2. Administratīvo izmaksu monetārs novērtējums ziņojumu par savākto un pārstrādāto bateriju un atkritumu daudzumu un veidiem: </w:t>
            </w:r>
          </w:p>
          <w:p w:rsidR="00477113" w:rsidRDefault="00477113" w:rsidP="00477113">
            <w:pPr>
              <w:jc w:val="both"/>
            </w:pPr>
          </w:p>
          <w:p w:rsidR="00477113" w:rsidRDefault="00477113" w:rsidP="00477113">
            <w:pPr>
              <w:ind w:left="360"/>
              <w:jc w:val="both"/>
            </w:pPr>
            <w:r>
              <w:t>C = (f x l) x (n x b), kur</w:t>
            </w:r>
          </w:p>
          <w:p w:rsidR="00477113" w:rsidRDefault="00477113" w:rsidP="00477113">
            <w:pPr>
              <w:pStyle w:val="tv213"/>
            </w:pPr>
            <w:r>
              <w:t>C – informācijas sniegšanas pienākuma radītās izmaksas jeb administratīvās izmaksas;</w:t>
            </w:r>
          </w:p>
          <w:p w:rsidR="00477113" w:rsidRDefault="00477113" w:rsidP="00477113">
            <w:pPr>
              <w:pStyle w:val="tv213"/>
            </w:pPr>
            <w:r>
              <w:t xml:space="preserve">f – finanšu līdzekļu apjoms, kas nepieciešams, lai nodrošinātu projektā paredzētā informācijas sniegšanas pienākuma izpildi (stundas samaksas likme, ieskaitot virsstundas vai stundas limitu ārējo pakalpojumu sniedzējiem, ja tādi ir) – privātajā sektorā stundas likme ir aprēķināta, dalot vidējo mēneša algu privātajā sektorā  </w:t>
            </w:r>
            <w:r>
              <w:rPr>
                <w:rStyle w:val="FootnoteReference"/>
              </w:rPr>
              <w:footnoteReference w:id="2"/>
            </w:r>
            <w:r>
              <w:t xml:space="preserve"> (741</w:t>
            </w:r>
            <w:r w:rsidR="003575A4">
              <w:t>,00</w:t>
            </w:r>
            <w:r>
              <w:t xml:space="preserve"> </w:t>
            </w:r>
            <w:r w:rsidRPr="003575A4">
              <w:rPr>
                <w:i/>
              </w:rPr>
              <w:t>euro</w:t>
            </w:r>
            <w:r>
              <w:t xml:space="preserve">) ar Darba likuma 131.panta pirmajā daļā minēto normālo darba laiku (40 stundas nedēļā x4 =160 stundas mēnesī) = 4,63 </w:t>
            </w:r>
            <w:r w:rsidRPr="003575A4">
              <w:rPr>
                <w:i/>
              </w:rPr>
              <w:t>euro</w:t>
            </w:r>
            <w:r>
              <w:t>;</w:t>
            </w:r>
          </w:p>
          <w:p w:rsidR="00477113" w:rsidRDefault="00477113" w:rsidP="00477113">
            <w:pPr>
              <w:pStyle w:val="tv213"/>
            </w:pPr>
            <w:r>
              <w:t xml:space="preserve">l – laika patēriņš, kas nepieciešams, lai sagatavotu informāciju, kuras sniegšanu paredz projekts – 40 darba stundas, ņemot vērā, ka ir nepieciešams apkopot līgumpartneru sniegto informāciju savākto un pārstrādāto bateriju un akumulatoru atkritumu veidiem un daudzumiem: </w:t>
            </w:r>
          </w:p>
          <w:p w:rsidR="00477113" w:rsidRDefault="00477113" w:rsidP="00477113">
            <w:pPr>
              <w:pStyle w:val="tv213"/>
            </w:pPr>
            <w:r>
              <w:t>n – subjektu skaits, uz ko attiecas projektā paredzētās informācijas sniegšanas prasības – 5 videi kaitīgo preču atkritumu apsaimniekotāji;</w:t>
            </w:r>
          </w:p>
          <w:p w:rsidR="00477113" w:rsidRDefault="00477113" w:rsidP="00477113">
            <w:pPr>
              <w:pStyle w:val="tv213"/>
            </w:pPr>
            <w:r>
              <w:t>b – cik bieži gada laikā projekts paredz informācijas sniegšanu - 2.</w:t>
            </w:r>
          </w:p>
          <w:p w:rsidR="00384860" w:rsidRDefault="00477113" w:rsidP="00384860">
            <w:pPr>
              <w:jc w:val="both"/>
            </w:pPr>
            <w:r>
              <w:t>C= (4,63 x 40)x (5x 2) = 185,2x 10= 1852</w:t>
            </w:r>
            <w:r w:rsidR="003575A4">
              <w:t>,00</w:t>
            </w:r>
            <w:r>
              <w:t xml:space="preserve"> </w:t>
            </w:r>
            <w:r w:rsidRPr="003575A4">
              <w:rPr>
                <w:i/>
              </w:rPr>
              <w:t>euro</w:t>
            </w:r>
            <w:r>
              <w:t xml:space="preserve">. </w:t>
            </w:r>
          </w:p>
          <w:p w:rsidR="00873A83" w:rsidRPr="00DB4477" w:rsidRDefault="00477113" w:rsidP="00873A83">
            <w:pPr>
              <w:pStyle w:val="tv213"/>
              <w:jc w:val="both"/>
            </w:pPr>
            <w:r>
              <w:t>Salīdzinājumam pievienojam informāciju par izmaksām, kas rastos, ja netiktu izpild</w:t>
            </w:r>
            <w:r w:rsidR="00D3668D">
              <w:t xml:space="preserve">ītas </w:t>
            </w:r>
            <w:r>
              <w:t xml:space="preserve">MK noteikumos Nr.485 noteiktās prasības </w:t>
            </w:r>
            <w:r w:rsidR="00D3668D">
              <w:t>un Eiropas Komisija būtu vērsusies pret Latviju Eiropas Savienības tiesā</w:t>
            </w:r>
            <w:r w:rsidR="006860C9">
              <w:t xml:space="preserve"> (turpmāk – EST)</w:t>
            </w:r>
            <w:r w:rsidR="00881716">
              <w:t xml:space="preserve">. </w:t>
            </w:r>
            <w:r w:rsidR="00881716" w:rsidRPr="0029444C">
              <w:t>Gadījumā, kad EST pieņem „</w:t>
            </w:r>
            <w:r w:rsidR="00881716" w:rsidRPr="0029444C">
              <w:rPr>
                <w:i/>
                <w:iCs/>
              </w:rPr>
              <w:t>pirmo</w:t>
            </w:r>
            <w:r w:rsidR="00881716" w:rsidRPr="0029444C">
              <w:t xml:space="preserve">” (konstatējošo) spriedumu pret dalībvalsti, dalībvalstij ir jārīkojas pietiekami ātri, lai novērstu konstatēto pārkāpumu un </w:t>
            </w:r>
            <w:r w:rsidR="00881716" w:rsidRPr="0029444C">
              <w:lastRenderedPageBreak/>
              <w:t>nenonāktu līdz „</w:t>
            </w:r>
            <w:r w:rsidR="00881716" w:rsidRPr="0029444C">
              <w:rPr>
                <w:i/>
                <w:iCs/>
              </w:rPr>
              <w:t>otrajam</w:t>
            </w:r>
            <w:r w:rsidR="00881716" w:rsidRPr="0029444C">
              <w:t xml:space="preserve">” EST spriedumam, ar kuru valstij var tikt piemērota soda nauda un kavējuma nauda. </w:t>
            </w:r>
            <w:r w:rsidR="00881716" w:rsidRPr="0029444C">
              <w:rPr>
                <w:bCs/>
              </w:rPr>
              <w:t>Pašlaik Latvijai noteiktā minimālā soda nauda ir 375 000 eiro, savukārt kavējuma nauda ir noteikta no 455 eiro līdz 27 300 eiro apmērā par katru kavējuma dienu pēc „</w:t>
            </w:r>
            <w:r w:rsidR="00881716" w:rsidRPr="0029444C">
              <w:rPr>
                <w:bCs/>
                <w:i/>
                <w:iCs/>
              </w:rPr>
              <w:t>otrā</w:t>
            </w:r>
            <w:r w:rsidR="00881716" w:rsidRPr="0029444C">
              <w:rPr>
                <w:bCs/>
              </w:rPr>
              <w:t>” sprieduma pasludināšanas līdz pārkāpums tiek pilnībā novērsts.</w:t>
            </w:r>
            <w:r w:rsidR="00881716" w:rsidRPr="0029444C">
              <w:rPr>
                <w:rStyle w:val="FootnoteReference"/>
                <w:bCs/>
              </w:rPr>
              <w:footnoteReference w:id="3"/>
            </w:r>
            <w:bookmarkStart w:id="0" w:name="_GoBack"/>
            <w:bookmarkEnd w:id="0"/>
          </w:p>
        </w:tc>
      </w:tr>
      <w:tr w:rsidR="00E76508" w:rsidRPr="00FB41DC" w:rsidTr="00152065">
        <w:tc>
          <w:tcPr>
            <w:tcW w:w="648" w:type="dxa"/>
          </w:tcPr>
          <w:p w:rsidR="00E76508" w:rsidRPr="00FB41DC" w:rsidRDefault="00E76508" w:rsidP="00152065">
            <w:pPr>
              <w:jc w:val="center"/>
            </w:pPr>
            <w:r>
              <w:lastRenderedPageBreak/>
              <w:t>4</w:t>
            </w:r>
            <w:r w:rsidRPr="00FB41DC">
              <w:t>.</w:t>
            </w:r>
          </w:p>
        </w:tc>
        <w:tc>
          <w:tcPr>
            <w:tcW w:w="2700" w:type="dxa"/>
          </w:tcPr>
          <w:p w:rsidR="00E76508" w:rsidRPr="00FB41DC" w:rsidRDefault="00E76508" w:rsidP="00152065">
            <w:r w:rsidRPr="00FB41DC">
              <w:t>Cita informācija</w:t>
            </w:r>
          </w:p>
        </w:tc>
        <w:tc>
          <w:tcPr>
            <w:tcW w:w="5939" w:type="dxa"/>
          </w:tcPr>
          <w:p w:rsidR="00E76508" w:rsidRPr="00FB41DC" w:rsidRDefault="00E76508" w:rsidP="00152065">
            <w:pPr>
              <w:jc w:val="both"/>
            </w:pPr>
            <w:r>
              <w:t>Nav.</w:t>
            </w:r>
          </w:p>
        </w:tc>
      </w:tr>
    </w:tbl>
    <w:p w:rsidR="00E76508" w:rsidRDefault="00E76508" w:rsidP="00E76508">
      <w:pPr>
        <w:pStyle w:val="naisf"/>
        <w:ind w:firstLine="0"/>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238"/>
      </w:tblGrid>
      <w:tr w:rsidR="00D3668D" w:rsidRPr="00D3668D" w:rsidTr="00D3668D">
        <w:trPr>
          <w:jc w:val="center"/>
        </w:trPr>
        <w:tc>
          <w:tcPr>
            <w:tcW w:w="9209" w:type="dxa"/>
            <w:gridSpan w:val="2"/>
            <w:tcBorders>
              <w:top w:val="single" w:sz="4" w:space="0" w:color="auto"/>
              <w:left w:val="single" w:sz="4" w:space="0" w:color="auto"/>
              <w:bottom w:val="single" w:sz="4" w:space="0" w:color="auto"/>
              <w:right w:val="single" w:sz="4" w:space="0" w:color="auto"/>
            </w:tcBorders>
            <w:hideMark/>
          </w:tcPr>
          <w:p w:rsidR="00D3668D" w:rsidRPr="00D3668D" w:rsidRDefault="00D3668D">
            <w:pPr>
              <w:pStyle w:val="naisnod"/>
              <w:spacing w:before="0" w:after="0"/>
              <w:rPr>
                <w:sz w:val="22"/>
                <w:lang w:eastAsia="en-US"/>
              </w:rPr>
            </w:pPr>
            <w:r w:rsidRPr="00D3668D">
              <w:rPr>
                <w:sz w:val="22"/>
                <w:lang w:eastAsia="en-US"/>
              </w:rPr>
              <w:t>IV. Tiesību akta projekta ietekme uz spēkā esošo tiesību normu sistēmu</w:t>
            </w:r>
          </w:p>
        </w:tc>
      </w:tr>
      <w:tr w:rsidR="00D3668D" w:rsidRPr="00D3668D" w:rsidTr="00D3668D">
        <w:trPr>
          <w:jc w:val="center"/>
        </w:trPr>
        <w:tc>
          <w:tcPr>
            <w:tcW w:w="2972" w:type="dxa"/>
            <w:tcBorders>
              <w:top w:val="single" w:sz="4" w:space="0" w:color="auto"/>
              <w:left w:val="single" w:sz="4" w:space="0" w:color="auto"/>
              <w:bottom w:val="single" w:sz="4" w:space="0" w:color="auto"/>
              <w:right w:val="single" w:sz="4" w:space="0" w:color="auto"/>
            </w:tcBorders>
            <w:hideMark/>
          </w:tcPr>
          <w:p w:rsidR="00D3668D" w:rsidRPr="007130DE" w:rsidRDefault="00D3668D">
            <w:pPr>
              <w:pStyle w:val="naiskr"/>
              <w:tabs>
                <w:tab w:val="left" w:pos="2628"/>
              </w:tabs>
              <w:spacing w:before="0" w:after="0"/>
              <w:jc w:val="both"/>
              <w:rPr>
                <w:lang w:eastAsia="en-US"/>
              </w:rPr>
            </w:pPr>
            <w:r w:rsidRPr="007130DE">
              <w:rPr>
                <w:lang w:eastAsia="en-US"/>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rsidR="00D3668D" w:rsidRDefault="00FA00C0" w:rsidP="003575A4">
            <w:pPr>
              <w:pStyle w:val="naisf"/>
              <w:spacing w:before="0" w:after="0"/>
              <w:ind w:firstLine="0"/>
              <w:rPr>
                <w:lang w:val="en-US" w:eastAsia="en-US"/>
              </w:rPr>
            </w:pPr>
            <w:r w:rsidRPr="007130DE">
              <w:rPr>
                <w:lang w:eastAsia="en-US"/>
              </w:rPr>
              <w:t>Lai nodrošinātu Direktīvas 2013/56/ES</w:t>
            </w:r>
            <w:r w:rsidR="003575A4" w:rsidRPr="007130DE">
              <w:rPr>
                <w:lang w:eastAsia="en-US"/>
              </w:rPr>
              <w:t xml:space="preserve"> pārējo</w:t>
            </w:r>
            <w:r w:rsidRPr="007130DE">
              <w:rPr>
                <w:lang w:eastAsia="en-US"/>
              </w:rPr>
              <w:t xml:space="preserve"> prasību pārņemšanu,</w:t>
            </w:r>
            <w:r w:rsidR="003704E5" w:rsidRPr="007130DE">
              <w:rPr>
                <w:lang w:eastAsia="en-US"/>
              </w:rPr>
              <w:t xml:space="preserve"> </w:t>
            </w:r>
            <w:r w:rsidR="00CC62B0" w:rsidRPr="007130DE">
              <w:rPr>
                <w:lang w:eastAsia="en-US"/>
              </w:rPr>
              <w:t xml:space="preserve">ir </w:t>
            </w:r>
            <w:r w:rsidR="003575A4" w:rsidRPr="007130DE">
              <w:rPr>
                <w:lang w:eastAsia="en-US"/>
              </w:rPr>
              <w:t>izstrādāts</w:t>
            </w:r>
            <w:r w:rsidR="003704E5" w:rsidRPr="007130DE">
              <w:rPr>
                <w:lang w:eastAsia="en-US"/>
              </w:rPr>
              <w:t xml:space="preserve"> Ministru kabineta</w:t>
            </w:r>
            <w:r w:rsidR="00CC62B0" w:rsidRPr="007130DE">
              <w:rPr>
                <w:lang w:eastAsia="en-US"/>
              </w:rPr>
              <w:t xml:space="preserve"> </w:t>
            </w:r>
            <w:r w:rsidR="003704E5" w:rsidRPr="007130DE">
              <w:rPr>
                <w:lang w:eastAsia="en-US"/>
              </w:rPr>
              <w:t>noteikumu projekt</w:t>
            </w:r>
            <w:r w:rsidR="00CC62B0" w:rsidRPr="007130DE">
              <w:rPr>
                <w:lang w:eastAsia="en-US"/>
              </w:rPr>
              <w:t>s</w:t>
            </w:r>
            <w:r w:rsidR="003704E5" w:rsidRPr="007130DE">
              <w:rPr>
                <w:lang w:eastAsia="en-US"/>
              </w:rPr>
              <w:t xml:space="preserve"> “</w:t>
            </w:r>
            <w:r w:rsidR="003704E5">
              <w:t>Grozījumi Ministru kabineta 2006.gada 14.februāra noteikumos Nr.139 ”Noteikumi par atsevišķu bīstamas ķīmiskas vielas saturošu iekārtu un produktu lietošanas un marķēšanas prasībām un par videi kaitīgo preču sarakstu””</w:t>
            </w:r>
            <w:r w:rsidR="00E76FFE">
              <w:t>, kurā tiks ietverti Dirketīvā 2013/56/ES noteiktie aizliegumi atsevišķu bateriju veidu laišanai tirgū, kā arī prasības nodrošin</w:t>
            </w:r>
            <w:r w:rsidR="00CC62B0">
              <w:t>āt bateriju un akumulatoru izņemšanu no iekārtām, kurās tie ievietoti</w:t>
            </w:r>
            <w:r w:rsidR="00D3668D" w:rsidRPr="007130DE">
              <w:rPr>
                <w:lang w:eastAsia="en-US"/>
              </w:rPr>
              <w:t xml:space="preserve">. </w:t>
            </w:r>
            <w:r w:rsidR="00D3668D">
              <w:rPr>
                <w:lang w:val="en-US" w:eastAsia="en-US"/>
              </w:rPr>
              <w:t xml:space="preserve">Noteikumu projektu </w:t>
            </w:r>
            <w:r w:rsidR="00CC62B0">
              <w:rPr>
                <w:lang w:val="en-US" w:eastAsia="en-US"/>
              </w:rPr>
              <w:t>plānots</w:t>
            </w:r>
            <w:r w:rsidR="008251F1">
              <w:rPr>
                <w:lang w:val="en-US" w:eastAsia="en-US"/>
              </w:rPr>
              <w:t xml:space="preserve"> </w:t>
            </w:r>
            <w:r w:rsidR="00D3668D">
              <w:rPr>
                <w:lang w:val="en-US" w:eastAsia="en-US"/>
              </w:rPr>
              <w:t xml:space="preserve">izsludināt valsts sekretāru sanāksmē </w:t>
            </w:r>
            <w:r w:rsidR="00B44BC3" w:rsidRPr="00CC62B0">
              <w:rPr>
                <w:lang w:val="en-US" w:eastAsia="en-US"/>
              </w:rPr>
              <w:t xml:space="preserve">2015.gada </w:t>
            </w:r>
            <w:r w:rsidR="00CC62B0">
              <w:rPr>
                <w:lang w:val="en-US" w:eastAsia="en-US"/>
              </w:rPr>
              <w:t>maijā.</w:t>
            </w:r>
          </w:p>
        </w:tc>
      </w:tr>
      <w:tr w:rsidR="00D3668D" w:rsidRPr="00D3668D" w:rsidTr="00D3668D">
        <w:trPr>
          <w:jc w:val="center"/>
        </w:trPr>
        <w:tc>
          <w:tcPr>
            <w:tcW w:w="2972" w:type="dxa"/>
            <w:tcBorders>
              <w:top w:val="single" w:sz="4" w:space="0" w:color="auto"/>
              <w:left w:val="single" w:sz="4" w:space="0" w:color="auto"/>
              <w:bottom w:val="single" w:sz="4" w:space="0" w:color="auto"/>
              <w:right w:val="single" w:sz="4" w:space="0" w:color="auto"/>
            </w:tcBorders>
            <w:hideMark/>
          </w:tcPr>
          <w:p w:rsidR="00D3668D" w:rsidRDefault="00D3668D">
            <w:pPr>
              <w:pStyle w:val="naiskr"/>
              <w:tabs>
                <w:tab w:val="left" w:pos="2628"/>
              </w:tabs>
              <w:spacing w:before="0" w:after="0"/>
              <w:jc w:val="both"/>
              <w:rPr>
                <w:lang w:val="en-US" w:eastAsia="en-US"/>
              </w:rPr>
            </w:pPr>
            <w:r>
              <w:rPr>
                <w:lang w:val="en-US" w:eastAsia="en-US"/>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rsidR="00D3668D" w:rsidRDefault="00D3668D">
            <w:pPr>
              <w:jc w:val="both"/>
              <w:rPr>
                <w:lang w:val="en-US" w:eastAsia="en-US"/>
              </w:rPr>
            </w:pPr>
            <w:r>
              <w:rPr>
                <w:lang w:val="en-US" w:eastAsia="en-US"/>
              </w:rPr>
              <w:t>Vides aizsardzības un reģionālās attīstības ministrija</w:t>
            </w:r>
          </w:p>
        </w:tc>
      </w:tr>
      <w:tr w:rsidR="00D3668D" w:rsidRPr="00D3668D" w:rsidTr="00D3668D">
        <w:trPr>
          <w:jc w:val="center"/>
        </w:trPr>
        <w:tc>
          <w:tcPr>
            <w:tcW w:w="2972" w:type="dxa"/>
            <w:tcBorders>
              <w:top w:val="single" w:sz="4" w:space="0" w:color="auto"/>
              <w:left w:val="single" w:sz="4" w:space="0" w:color="auto"/>
              <w:bottom w:val="single" w:sz="4" w:space="0" w:color="auto"/>
              <w:right w:val="single" w:sz="4" w:space="0" w:color="auto"/>
            </w:tcBorders>
            <w:hideMark/>
          </w:tcPr>
          <w:p w:rsidR="00D3668D" w:rsidRDefault="00D3668D">
            <w:pPr>
              <w:pStyle w:val="naiskr"/>
              <w:tabs>
                <w:tab w:val="left" w:pos="2628"/>
              </w:tabs>
              <w:spacing w:before="0" w:after="0"/>
              <w:jc w:val="both"/>
              <w:rPr>
                <w:lang w:val="en-US" w:eastAsia="en-US"/>
              </w:rPr>
            </w:pPr>
            <w:r>
              <w:rPr>
                <w:lang w:val="en-US" w:eastAsia="en-US"/>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D3668D" w:rsidRDefault="00D3668D">
            <w:pPr>
              <w:jc w:val="both"/>
              <w:rPr>
                <w:lang w:val="en-US" w:eastAsia="en-US"/>
              </w:rPr>
            </w:pPr>
            <w:r>
              <w:rPr>
                <w:lang w:val="en-US" w:eastAsia="en-US"/>
              </w:rPr>
              <w:t>Nav.</w:t>
            </w:r>
          </w:p>
        </w:tc>
      </w:tr>
    </w:tbl>
    <w:p w:rsidR="00D3668D" w:rsidRDefault="00D3668D" w:rsidP="00D3668D"/>
    <w:p w:rsidR="00D3668D" w:rsidRDefault="00D3668D" w:rsidP="00D3668D"/>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21"/>
        <w:gridCol w:w="2661"/>
        <w:gridCol w:w="5979"/>
      </w:tblGrid>
      <w:tr w:rsidR="00D3668D" w:rsidRPr="00D3668D" w:rsidTr="00D3668D">
        <w:trPr>
          <w:jc w:val="center"/>
        </w:trPr>
        <w:tc>
          <w:tcPr>
            <w:tcW w:w="906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Pr="007130DE" w:rsidRDefault="00D3668D">
            <w:pPr>
              <w:pStyle w:val="naisnod"/>
              <w:spacing w:before="0" w:after="0"/>
              <w:rPr>
                <w:lang w:eastAsia="en-US"/>
              </w:rPr>
            </w:pPr>
            <w:r w:rsidRPr="007130DE">
              <w:rPr>
                <w:lang w:eastAsia="en-US"/>
              </w:rPr>
              <w:t>V. Tiesību akta projekta atbilstība Latvijas Republikas starptautiskajām saistībām</w:t>
            </w:r>
          </w:p>
        </w:tc>
      </w:tr>
      <w:tr w:rsidR="00D3668D" w:rsidRPr="00D3668D" w:rsidTr="00D3668D">
        <w:trPr>
          <w:jc w:val="center"/>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1.</w:t>
            </w:r>
          </w:p>
        </w:tc>
        <w:tc>
          <w:tcPr>
            <w:tcW w:w="2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Saistības pret Eiropas Savienību</w:t>
            </w:r>
          </w:p>
        </w:tc>
        <w:tc>
          <w:tcPr>
            <w:tcW w:w="5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668D" w:rsidRPr="007130DE" w:rsidRDefault="00D3668D">
            <w:pPr>
              <w:pStyle w:val="naisc"/>
              <w:spacing w:before="0" w:after="0"/>
              <w:jc w:val="both"/>
              <w:rPr>
                <w:rStyle w:val="Emphasis"/>
                <w:lang w:val="de-DE" w:eastAsia="en-US"/>
              </w:rPr>
            </w:pPr>
            <w:r w:rsidRPr="007130DE">
              <w:rPr>
                <w:bCs/>
                <w:lang w:val="de-DE" w:eastAsia="en-US"/>
              </w:rPr>
              <w:t xml:space="preserve">Direktīva 2013/56/ES </w:t>
            </w:r>
            <w:r w:rsidRPr="007130DE">
              <w:rPr>
                <w:lang w:val="de-DE" w:eastAsia="en-US"/>
              </w:rPr>
              <w:t>(</w:t>
            </w:r>
            <w:r w:rsidRPr="007130DE">
              <w:rPr>
                <w:rStyle w:val="Emphasis"/>
                <w:lang w:val="de-DE" w:eastAsia="en-US"/>
              </w:rPr>
              <w:t>OV L 329, 10.12.2013., 5. lpp.)</w:t>
            </w:r>
          </w:p>
          <w:p w:rsidR="007343D4" w:rsidRPr="007130DE" w:rsidRDefault="007343D4">
            <w:pPr>
              <w:pStyle w:val="naisc"/>
              <w:spacing w:before="0" w:after="0"/>
              <w:jc w:val="both"/>
              <w:rPr>
                <w:lang w:val="de-DE" w:eastAsia="en-US"/>
              </w:rPr>
            </w:pPr>
          </w:p>
          <w:p w:rsidR="007343D4" w:rsidRPr="007343D4" w:rsidRDefault="007343D4">
            <w:pPr>
              <w:pStyle w:val="naisc"/>
              <w:spacing w:before="0" w:after="0"/>
              <w:jc w:val="both"/>
              <w:rPr>
                <w:lang w:eastAsia="en-US"/>
              </w:rPr>
            </w:pPr>
            <w:r>
              <w:rPr>
                <w:lang w:val="en-US"/>
              </w:rPr>
              <w:t>R</w:t>
            </w:r>
            <w:r>
              <w:t>egula Nr. 493/2012 (OV L 151/11, 12.6.2012., 9.lpp.)</w:t>
            </w:r>
          </w:p>
          <w:p w:rsidR="00D3668D" w:rsidRPr="007343D4" w:rsidRDefault="00D3668D">
            <w:pPr>
              <w:pStyle w:val="naisc"/>
              <w:spacing w:before="0" w:after="0"/>
              <w:jc w:val="both"/>
              <w:rPr>
                <w:lang w:eastAsia="en-US"/>
              </w:rPr>
            </w:pPr>
          </w:p>
        </w:tc>
      </w:tr>
      <w:tr w:rsidR="00D3668D" w:rsidRPr="00D3668D" w:rsidTr="00D3668D">
        <w:trPr>
          <w:jc w:val="center"/>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2.</w:t>
            </w:r>
          </w:p>
        </w:tc>
        <w:tc>
          <w:tcPr>
            <w:tcW w:w="2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Citas starptautiskās saistības</w:t>
            </w:r>
          </w:p>
        </w:tc>
        <w:tc>
          <w:tcPr>
            <w:tcW w:w="5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Projekts šo jomu neskar.</w:t>
            </w:r>
          </w:p>
        </w:tc>
      </w:tr>
      <w:tr w:rsidR="00D3668D" w:rsidRPr="00D3668D" w:rsidTr="00D3668D">
        <w:trPr>
          <w:jc w:val="center"/>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3.</w:t>
            </w:r>
          </w:p>
        </w:tc>
        <w:tc>
          <w:tcPr>
            <w:tcW w:w="2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Cita informācija</w:t>
            </w:r>
          </w:p>
        </w:tc>
        <w:tc>
          <w:tcPr>
            <w:tcW w:w="5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3668D" w:rsidRDefault="00D3668D">
            <w:pPr>
              <w:pStyle w:val="naiskr"/>
              <w:tabs>
                <w:tab w:val="left" w:pos="2628"/>
              </w:tabs>
              <w:spacing w:before="0" w:after="0"/>
              <w:jc w:val="both"/>
              <w:rPr>
                <w:lang w:val="en-US" w:eastAsia="en-US"/>
              </w:rPr>
            </w:pPr>
            <w:r>
              <w:rPr>
                <w:lang w:val="en-US" w:eastAsia="en-US"/>
              </w:rPr>
              <w:t>Nav.</w:t>
            </w:r>
          </w:p>
        </w:tc>
      </w:tr>
    </w:tbl>
    <w:p w:rsidR="00D3668D" w:rsidRDefault="00D3668D" w:rsidP="00D3668D">
      <w:pPr>
        <w:pStyle w:val="naisf"/>
        <w:spacing w:before="0" w:after="0"/>
        <w:ind w:firstLine="0"/>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47"/>
        <w:gridCol w:w="1984"/>
        <w:gridCol w:w="1560"/>
        <w:gridCol w:w="2970"/>
      </w:tblGrid>
      <w:tr w:rsidR="00D3668D" w:rsidRPr="00D3668D" w:rsidTr="00D3668D">
        <w:trPr>
          <w:trHeight w:val="523"/>
          <w:jc w:val="center"/>
        </w:trPr>
        <w:tc>
          <w:tcPr>
            <w:tcW w:w="906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Pr="00D3668D" w:rsidRDefault="00D3668D">
            <w:pPr>
              <w:pStyle w:val="naisnod"/>
              <w:spacing w:before="0" w:after="0"/>
              <w:rPr>
                <w:lang w:eastAsia="en-US"/>
              </w:rPr>
            </w:pPr>
            <w:r w:rsidRPr="00D3668D">
              <w:rPr>
                <w:lang w:eastAsia="en-US"/>
              </w:rPr>
              <w:t>1.tabula</w:t>
            </w:r>
          </w:p>
          <w:p w:rsidR="00D3668D" w:rsidRPr="00D3668D" w:rsidRDefault="00D3668D">
            <w:pPr>
              <w:pStyle w:val="naisnod"/>
              <w:spacing w:before="0" w:after="0"/>
              <w:rPr>
                <w:lang w:eastAsia="en-US"/>
              </w:rPr>
            </w:pPr>
            <w:r w:rsidRPr="00D3668D">
              <w:rPr>
                <w:lang w:eastAsia="en-US"/>
              </w:rPr>
              <w:t>Tiesību akta projekta atbilstība ES tiesību aktiem</w:t>
            </w:r>
          </w:p>
        </w:tc>
      </w:tr>
      <w:tr w:rsidR="00D3668D" w:rsidRPr="00D3668D" w:rsidTr="00D3668D">
        <w:trPr>
          <w:trHeight w:val="1252"/>
          <w:jc w:val="center"/>
        </w:trPr>
        <w:tc>
          <w:tcPr>
            <w:tcW w:w="25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Pr="007130DE" w:rsidRDefault="00D3668D">
            <w:pPr>
              <w:pStyle w:val="naiskr"/>
              <w:spacing w:before="0" w:after="0"/>
              <w:ind w:hanging="10"/>
              <w:jc w:val="both"/>
              <w:rPr>
                <w:lang w:val="de-DE" w:eastAsia="en-US"/>
              </w:rPr>
            </w:pPr>
            <w:r w:rsidRPr="007130DE">
              <w:rPr>
                <w:lang w:val="de-DE" w:eastAsia="en-US"/>
              </w:rPr>
              <w:t>Attiecīgā ES tiesību akta datums, numurs un nosaukums</w:t>
            </w:r>
          </w:p>
        </w:tc>
        <w:tc>
          <w:tcPr>
            <w:tcW w:w="6514"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Pr="007130DE" w:rsidRDefault="00D3668D">
            <w:pPr>
              <w:pStyle w:val="naisc"/>
              <w:spacing w:before="0" w:after="0"/>
              <w:jc w:val="both"/>
              <w:rPr>
                <w:lang w:val="de-DE" w:eastAsia="en-US"/>
              </w:rPr>
            </w:pPr>
            <w:r w:rsidRPr="007130DE">
              <w:rPr>
                <w:bCs/>
                <w:lang w:val="de-DE" w:eastAsia="en-US"/>
              </w:rPr>
              <w:t xml:space="preserve">Direktīva 2013/56/ES </w:t>
            </w:r>
            <w:r w:rsidRPr="007130DE">
              <w:rPr>
                <w:lang w:val="de-DE" w:eastAsia="en-US"/>
              </w:rPr>
              <w:t>(</w:t>
            </w:r>
            <w:r w:rsidRPr="007130DE">
              <w:rPr>
                <w:rStyle w:val="Emphasis"/>
                <w:lang w:val="de-DE" w:eastAsia="en-US"/>
              </w:rPr>
              <w:t>OV L 329, 10.12.2013., 5. lpp.);</w:t>
            </w:r>
          </w:p>
        </w:tc>
      </w:tr>
      <w:tr w:rsidR="00D3668D" w:rsidRPr="00D3668D" w:rsidTr="00D3668D">
        <w:trPr>
          <w:trHeight w:val="165"/>
          <w:jc w:val="center"/>
        </w:trPr>
        <w:tc>
          <w:tcPr>
            <w:tcW w:w="25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Default="00D3668D">
            <w:pPr>
              <w:pStyle w:val="naiskr"/>
              <w:spacing w:before="0" w:after="0"/>
              <w:jc w:val="center"/>
              <w:rPr>
                <w:lang w:val="en-US" w:eastAsia="en-US"/>
              </w:rPr>
            </w:pPr>
            <w:r>
              <w:rPr>
                <w:lang w:val="en-US" w:eastAsia="en-US"/>
              </w:rPr>
              <w:t>A</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Default="00D3668D">
            <w:pPr>
              <w:pStyle w:val="naiskr"/>
              <w:spacing w:before="0" w:after="0"/>
              <w:jc w:val="center"/>
              <w:rPr>
                <w:lang w:val="en-US" w:eastAsia="en-US"/>
              </w:rPr>
            </w:pPr>
            <w:r>
              <w:rPr>
                <w:lang w:val="en-US" w:eastAsia="en-US"/>
              </w:rPr>
              <w:t>B</w:t>
            </w:r>
          </w:p>
        </w:tc>
        <w:tc>
          <w:tcPr>
            <w:tcW w:w="156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Default="00D3668D">
            <w:pPr>
              <w:pStyle w:val="naiskr"/>
              <w:spacing w:before="0" w:after="0"/>
              <w:jc w:val="center"/>
              <w:rPr>
                <w:lang w:val="en-US" w:eastAsia="en-US"/>
              </w:rPr>
            </w:pPr>
            <w:r>
              <w:rPr>
                <w:lang w:val="en-US" w:eastAsia="en-US"/>
              </w:rPr>
              <w:t>C</w:t>
            </w:r>
          </w:p>
        </w:tc>
        <w:tc>
          <w:tcPr>
            <w:tcW w:w="297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D3668D" w:rsidRDefault="00D3668D">
            <w:pPr>
              <w:pStyle w:val="naiskr"/>
              <w:spacing w:before="0" w:after="0"/>
              <w:jc w:val="center"/>
              <w:rPr>
                <w:lang w:val="en-US" w:eastAsia="en-US"/>
              </w:rPr>
            </w:pPr>
            <w:r>
              <w:rPr>
                <w:lang w:val="en-US" w:eastAsia="en-US"/>
              </w:rPr>
              <w:t>D</w:t>
            </w:r>
          </w:p>
        </w:tc>
      </w:tr>
      <w:tr w:rsidR="00D3668D" w:rsidRPr="00D3668D" w:rsidTr="00D3668D">
        <w:trPr>
          <w:trHeight w:val="313"/>
          <w:jc w:val="center"/>
        </w:trPr>
        <w:tc>
          <w:tcPr>
            <w:tcW w:w="254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3668D" w:rsidRDefault="00D3668D">
            <w:pPr>
              <w:pStyle w:val="naiskr"/>
              <w:spacing w:before="0" w:after="0"/>
              <w:jc w:val="both"/>
              <w:rPr>
                <w:lang w:val="en-US" w:eastAsia="en-US"/>
              </w:rPr>
            </w:pPr>
            <w:r>
              <w:rPr>
                <w:lang w:val="en-US" w:eastAsia="en-US"/>
              </w:rPr>
              <w:t>1.panta 11.daļas 1.teikums</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D3668D" w:rsidRDefault="00AF6215" w:rsidP="00AF6215">
            <w:pPr>
              <w:pStyle w:val="naiskr"/>
              <w:spacing w:before="0" w:after="0"/>
              <w:jc w:val="both"/>
              <w:rPr>
                <w:lang w:val="en-US" w:eastAsia="en-US"/>
              </w:rPr>
            </w:pPr>
            <w:r>
              <w:rPr>
                <w:lang w:val="en-US" w:eastAsia="en-US"/>
              </w:rPr>
              <w:t xml:space="preserve">Noteikumu projekta </w:t>
            </w:r>
            <w:r w:rsidR="00091B69">
              <w:rPr>
                <w:lang w:val="en-US" w:eastAsia="en-US"/>
              </w:rPr>
              <w:t>4</w:t>
            </w:r>
            <w:r w:rsidR="003704E5">
              <w:rPr>
                <w:lang w:val="en-US" w:eastAsia="en-US"/>
              </w:rPr>
              <w:t>.punkts</w:t>
            </w:r>
          </w:p>
        </w:tc>
        <w:tc>
          <w:tcPr>
            <w:tcW w:w="156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3668D" w:rsidRDefault="00AF6215">
            <w:pPr>
              <w:pStyle w:val="naiskr"/>
              <w:spacing w:before="0" w:after="0"/>
              <w:jc w:val="both"/>
              <w:rPr>
                <w:lang w:val="en-US" w:eastAsia="en-US"/>
              </w:rPr>
            </w:pPr>
            <w:r>
              <w:rPr>
                <w:lang w:val="en-US" w:eastAsia="en-US"/>
              </w:rPr>
              <w:t xml:space="preserve">Ieviests </w:t>
            </w:r>
            <w:r w:rsidR="003704E5">
              <w:rPr>
                <w:lang w:val="en-US" w:eastAsia="en-US"/>
              </w:rPr>
              <w:t>pilnībā</w:t>
            </w:r>
          </w:p>
        </w:tc>
        <w:tc>
          <w:tcPr>
            <w:tcW w:w="297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D3668D" w:rsidRDefault="00AF6215">
            <w:pPr>
              <w:pStyle w:val="naiskr"/>
              <w:spacing w:before="0" w:after="0"/>
              <w:jc w:val="both"/>
              <w:rPr>
                <w:lang w:val="en-US" w:eastAsia="en-US"/>
              </w:rPr>
            </w:pPr>
            <w:r>
              <w:rPr>
                <w:lang w:val="en-US" w:eastAsia="en-US"/>
              </w:rPr>
              <w:t>Neparedz stingrākas prasības.</w:t>
            </w:r>
          </w:p>
        </w:tc>
      </w:tr>
    </w:tbl>
    <w:p w:rsidR="00D3668D" w:rsidRDefault="00D3668D" w:rsidP="00D3668D">
      <w:pPr>
        <w:pStyle w:val="naisf"/>
        <w:spacing w:before="0" w:after="0"/>
        <w:ind w:firstLine="0"/>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75"/>
        <w:gridCol w:w="1981"/>
        <w:gridCol w:w="1557"/>
        <w:gridCol w:w="2976"/>
        <w:gridCol w:w="20"/>
      </w:tblGrid>
      <w:tr w:rsidR="007343D4" w:rsidRPr="00D3668D" w:rsidTr="007343D4">
        <w:trPr>
          <w:trHeight w:val="523"/>
          <w:jc w:val="center"/>
        </w:trPr>
        <w:tc>
          <w:tcPr>
            <w:tcW w:w="2580" w:type="dxa"/>
            <w:tcBorders>
              <w:top w:val="single" w:sz="4" w:space="0" w:color="00000A"/>
              <w:left w:val="single" w:sz="4" w:space="0" w:color="00000A"/>
              <w:bottom w:val="single" w:sz="4" w:space="0" w:color="00000A"/>
              <w:right w:val="single" w:sz="4" w:space="0" w:color="00000A"/>
            </w:tcBorders>
          </w:tcPr>
          <w:p w:rsidR="007343D4" w:rsidRPr="00D3668D" w:rsidRDefault="007343D4" w:rsidP="00881716">
            <w:pPr>
              <w:pStyle w:val="naisnod"/>
              <w:spacing w:before="0" w:after="0"/>
              <w:rPr>
                <w:lang w:eastAsia="en-US"/>
              </w:rPr>
            </w:pPr>
          </w:p>
        </w:tc>
        <w:tc>
          <w:tcPr>
            <w:tcW w:w="6547"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343D4" w:rsidRPr="00D3668D" w:rsidRDefault="007343D4" w:rsidP="00881716">
            <w:pPr>
              <w:pStyle w:val="naisnod"/>
              <w:spacing w:before="0" w:after="0"/>
              <w:rPr>
                <w:lang w:eastAsia="en-US"/>
              </w:rPr>
            </w:pPr>
            <w:r w:rsidRPr="00D3668D">
              <w:rPr>
                <w:lang w:eastAsia="en-US"/>
              </w:rPr>
              <w:t>1.tabula</w:t>
            </w:r>
          </w:p>
          <w:p w:rsidR="007343D4" w:rsidRPr="00D3668D" w:rsidRDefault="007343D4" w:rsidP="00881716">
            <w:pPr>
              <w:pStyle w:val="naisnod"/>
              <w:spacing w:before="0" w:after="0"/>
              <w:rPr>
                <w:lang w:eastAsia="en-US"/>
              </w:rPr>
            </w:pPr>
            <w:r w:rsidRPr="00D3668D">
              <w:rPr>
                <w:lang w:eastAsia="en-US"/>
              </w:rPr>
              <w:t>Tiesību akta projekta atbilstība ES tiesību aktiem</w:t>
            </w:r>
          </w:p>
        </w:tc>
      </w:tr>
      <w:tr w:rsidR="007343D4" w:rsidTr="007343D4">
        <w:trPr>
          <w:gridAfter w:val="1"/>
          <w:wAfter w:w="20" w:type="dxa"/>
          <w:trHeight w:val="1252"/>
          <w:jc w:val="center"/>
        </w:trPr>
        <w:tc>
          <w:tcPr>
            <w:tcW w:w="2580" w:type="dxa"/>
            <w:tcBorders>
              <w:top w:val="single" w:sz="4" w:space="0" w:color="00000A"/>
              <w:left w:val="single" w:sz="4" w:space="0" w:color="00000A"/>
              <w:bottom w:val="single" w:sz="4" w:space="0" w:color="00000A"/>
              <w:right w:val="single" w:sz="4" w:space="0" w:color="00000A"/>
            </w:tcBorders>
          </w:tcPr>
          <w:p w:rsidR="007343D4" w:rsidRPr="0076004D" w:rsidRDefault="007343D4" w:rsidP="00881716">
            <w:pPr>
              <w:pStyle w:val="naisc"/>
              <w:spacing w:before="0" w:after="0"/>
              <w:jc w:val="both"/>
              <w:rPr>
                <w:bCs/>
                <w:lang w:eastAsia="en-US"/>
              </w:rPr>
            </w:pPr>
          </w:p>
        </w:tc>
        <w:tc>
          <w:tcPr>
            <w:tcW w:w="652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343D4" w:rsidRPr="007343D4" w:rsidRDefault="007343D4" w:rsidP="007343D4">
            <w:pPr>
              <w:pStyle w:val="naisc"/>
              <w:spacing w:before="0" w:after="0"/>
              <w:jc w:val="both"/>
              <w:rPr>
                <w:lang w:eastAsia="en-US"/>
              </w:rPr>
            </w:pPr>
            <w:r>
              <w:rPr>
                <w:lang w:val="en-US"/>
              </w:rPr>
              <w:t>R</w:t>
            </w:r>
            <w:r>
              <w:t>egula Nr. 493/2012 (OV L 151/11, 12.6.2012., 9.lpp.)</w:t>
            </w:r>
          </w:p>
          <w:p w:rsidR="007343D4" w:rsidRPr="007343D4" w:rsidRDefault="007343D4" w:rsidP="00881716">
            <w:pPr>
              <w:pStyle w:val="naisc"/>
              <w:spacing w:before="0" w:after="0"/>
              <w:jc w:val="both"/>
              <w:rPr>
                <w:lang w:eastAsia="en-US"/>
              </w:rPr>
            </w:pPr>
          </w:p>
        </w:tc>
      </w:tr>
      <w:tr w:rsidR="007343D4" w:rsidTr="007343D4">
        <w:trPr>
          <w:gridAfter w:val="1"/>
          <w:wAfter w:w="20" w:type="dxa"/>
          <w:trHeight w:val="165"/>
          <w:jc w:val="center"/>
        </w:trPr>
        <w:tc>
          <w:tcPr>
            <w:tcW w:w="258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343D4" w:rsidRDefault="007343D4" w:rsidP="00881716">
            <w:pPr>
              <w:pStyle w:val="naiskr"/>
              <w:spacing w:before="0" w:after="0"/>
              <w:jc w:val="center"/>
              <w:rPr>
                <w:lang w:val="en-US" w:eastAsia="en-US"/>
              </w:rPr>
            </w:pPr>
            <w:r>
              <w:rPr>
                <w:lang w:val="en-US" w:eastAsia="en-US"/>
              </w:rPr>
              <w:t>B</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343D4" w:rsidRDefault="007343D4" w:rsidP="00881716">
            <w:pPr>
              <w:pStyle w:val="naiskr"/>
              <w:spacing w:before="0" w:after="0"/>
              <w:jc w:val="center"/>
              <w:rPr>
                <w:lang w:val="en-US" w:eastAsia="en-US"/>
              </w:rPr>
            </w:pPr>
            <w:r>
              <w:rPr>
                <w:lang w:val="en-US" w:eastAsia="en-US"/>
              </w:rPr>
              <w:t>C</w:t>
            </w:r>
          </w:p>
        </w:tc>
        <w:tc>
          <w:tcPr>
            <w:tcW w:w="1560" w:type="dxa"/>
            <w:tcBorders>
              <w:top w:val="single" w:sz="4" w:space="0" w:color="00000A"/>
              <w:left w:val="single" w:sz="4" w:space="0" w:color="00000A"/>
              <w:bottom w:val="single" w:sz="4" w:space="0" w:color="00000A"/>
              <w:right w:val="single" w:sz="4" w:space="0" w:color="00000A"/>
            </w:tcBorders>
          </w:tcPr>
          <w:p w:rsidR="007343D4" w:rsidRDefault="007343D4" w:rsidP="00881716">
            <w:pPr>
              <w:pStyle w:val="naiskr"/>
              <w:spacing w:before="0" w:after="0"/>
              <w:jc w:val="center"/>
              <w:rPr>
                <w:lang w:val="en-US" w:eastAsia="en-US"/>
              </w:rPr>
            </w:pPr>
          </w:p>
        </w:tc>
        <w:tc>
          <w:tcPr>
            <w:tcW w:w="298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343D4" w:rsidRDefault="007343D4" w:rsidP="00881716">
            <w:pPr>
              <w:pStyle w:val="naiskr"/>
              <w:spacing w:before="0" w:after="0"/>
              <w:jc w:val="center"/>
              <w:rPr>
                <w:lang w:val="en-US" w:eastAsia="en-US"/>
              </w:rPr>
            </w:pPr>
            <w:r>
              <w:rPr>
                <w:lang w:val="en-US" w:eastAsia="en-US"/>
              </w:rPr>
              <w:t>D</w:t>
            </w:r>
          </w:p>
        </w:tc>
      </w:tr>
      <w:tr w:rsidR="007343D4" w:rsidTr="007343D4">
        <w:trPr>
          <w:gridAfter w:val="1"/>
          <w:wAfter w:w="20" w:type="dxa"/>
          <w:trHeight w:val="313"/>
          <w:jc w:val="center"/>
        </w:trPr>
        <w:tc>
          <w:tcPr>
            <w:tcW w:w="258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881716">
            <w:pPr>
              <w:pStyle w:val="naiskr"/>
              <w:spacing w:before="0" w:after="0"/>
              <w:jc w:val="both"/>
              <w:rPr>
                <w:lang w:val="en-US" w:eastAsia="en-US"/>
              </w:rPr>
            </w:pPr>
            <w:r>
              <w:rPr>
                <w:lang w:val="en-US" w:eastAsia="en-US"/>
              </w:rPr>
              <w:t>3.panta 4.punkts</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7343D4" w:rsidRDefault="007343D4" w:rsidP="00881716">
            <w:pPr>
              <w:pStyle w:val="naiskr"/>
              <w:spacing w:before="0" w:after="0"/>
              <w:jc w:val="both"/>
              <w:rPr>
                <w:lang w:val="en-US" w:eastAsia="en-US"/>
              </w:rPr>
            </w:pPr>
            <w:r>
              <w:rPr>
                <w:lang w:val="en-US" w:eastAsia="en-US"/>
              </w:rPr>
              <w:t>Noteikumu projekta 2.punkts</w:t>
            </w:r>
          </w:p>
        </w:tc>
        <w:tc>
          <w:tcPr>
            <w:tcW w:w="1560" w:type="dxa"/>
            <w:tcBorders>
              <w:top w:val="single" w:sz="4" w:space="0" w:color="00000A"/>
              <w:left w:val="single" w:sz="4" w:space="0" w:color="00000A"/>
              <w:bottom w:val="single" w:sz="4" w:space="0" w:color="00000A"/>
              <w:right w:val="single" w:sz="4" w:space="0" w:color="00000A"/>
            </w:tcBorders>
          </w:tcPr>
          <w:p w:rsidR="007343D4" w:rsidRDefault="007343D4" w:rsidP="00881716">
            <w:pPr>
              <w:pStyle w:val="naiskr"/>
              <w:spacing w:before="0" w:after="0"/>
              <w:jc w:val="both"/>
              <w:rPr>
                <w:lang w:val="en-US" w:eastAsia="en-US"/>
              </w:rPr>
            </w:pPr>
            <w:r>
              <w:rPr>
                <w:lang w:val="en-US" w:eastAsia="en-US"/>
              </w:rPr>
              <w:t>Ieviests pilnībā</w:t>
            </w:r>
          </w:p>
        </w:tc>
        <w:tc>
          <w:tcPr>
            <w:tcW w:w="298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7343D4" w:rsidRDefault="007343D4" w:rsidP="00881716">
            <w:pPr>
              <w:pStyle w:val="naiskr"/>
              <w:spacing w:before="0" w:after="0"/>
              <w:jc w:val="both"/>
              <w:rPr>
                <w:lang w:val="en-US" w:eastAsia="en-US"/>
              </w:rPr>
            </w:pPr>
            <w:r>
              <w:rPr>
                <w:lang w:val="en-US" w:eastAsia="en-US"/>
              </w:rPr>
              <w:t>Neparedz stingrākas prasības.</w:t>
            </w:r>
          </w:p>
        </w:tc>
      </w:tr>
      <w:tr w:rsidR="007343D4" w:rsidTr="007343D4">
        <w:trPr>
          <w:gridAfter w:val="1"/>
          <w:wAfter w:w="20" w:type="dxa"/>
          <w:trHeight w:val="313"/>
          <w:jc w:val="center"/>
        </w:trPr>
        <w:tc>
          <w:tcPr>
            <w:tcW w:w="258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1., 2., 3.pielikums</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Noteikumu projekta 1.punkts</w:t>
            </w:r>
          </w:p>
        </w:tc>
        <w:tc>
          <w:tcPr>
            <w:tcW w:w="1560" w:type="dxa"/>
            <w:tcBorders>
              <w:top w:val="single" w:sz="4" w:space="0" w:color="00000A"/>
              <w:left w:val="single" w:sz="4" w:space="0" w:color="00000A"/>
              <w:bottom w:val="single" w:sz="4" w:space="0" w:color="00000A"/>
              <w:right w:val="single" w:sz="4" w:space="0" w:color="00000A"/>
            </w:tcBorders>
          </w:tcPr>
          <w:p w:rsidR="007343D4" w:rsidRDefault="007343D4" w:rsidP="007343D4">
            <w:pPr>
              <w:pStyle w:val="naiskr"/>
              <w:spacing w:before="0" w:after="0"/>
              <w:jc w:val="both"/>
              <w:rPr>
                <w:lang w:val="en-US" w:eastAsia="en-US"/>
              </w:rPr>
            </w:pPr>
            <w:r>
              <w:rPr>
                <w:lang w:val="en-US" w:eastAsia="en-US"/>
              </w:rPr>
              <w:t>Ieviests pilnībā</w:t>
            </w:r>
          </w:p>
        </w:tc>
        <w:tc>
          <w:tcPr>
            <w:tcW w:w="298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Neparedz stingrākas prasības.</w:t>
            </w:r>
          </w:p>
        </w:tc>
      </w:tr>
      <w:tr w:rsidR="007343D4" w:rsidTr="007343D4">
        <w:trPr>
          <w:gridAfter w:val="1"/>
          <w:wAfter w:w="20" w:type="dxa"/>
          <w:trHeight w:val="313"/>
          <w:jc w:val="center"/>
        </w:trPr>
        <w:tc>
          <w:tcPr>
            <w:tcW w:w="258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4., 5., 6.pielikums</w:t>
            </w:r>
          </w:p>
        </w:tc>
        <w:tc>
          <w:tcPr>
            <w:tcW w:w="198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Noteikumu projekta 2.punkts</w:t>
            </w:r>
          </w:p>
        </w:tc>
        <w:tc>
          <w:tcPr>
            <w:tcW w:w="1560" w:type="dxa"/>
            <w:tcBorders>
              <w:top w:val="single" w:sz="4" w:space="0" w:color="00000A"/>
              <w:left w:val="single" w:sz="4" w:space="0" w:color="00000A"/>
              <w:bottom w:val="single" w:sz="4" w:space="0" w:color="00000A"/>
              <w:right w:val="single" w:sz="4" w:space="0" w:color="00000A"/>
            </w:tcBorders>
          </w:tcPr>
          <w:p w:rsidR="007343D4" w:rsidRDefault="007343D4" w:rsidP="007343D4">
            <w:pPr>
              <w:pStyle w:val="naiskr"/>
              <w:spacing w:before="0" w:after="0"/>
              <w:jc w:val="both"/>
              <w:rPr>
                <w:lang w:val="en-US" w:eastAsia="en-US"/>
              </w:rPr>
            </w:pPr>
            <w:r>
              <w:rPr>
                <w:lang w:val="en-US" w:eastAsia="en-US"/>
              </w:rPr>
              <w:t>Ieviests pilnībā</w:t>
            </w:r>
          </w:p>
        </w:tc>
        <w:tc>
          <w:tcPr>
            <w:tcW w:w="298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7343D4" w:rsidRDefault="007343D4" w:rsidP="007343D4">
            <w:pPr>
              <w:pStyle w:val="naiskr"/>
              <w:spacing w:before="0" w:after="0"/>
              <w:jc w:val="both"/>
              <w:rPr>
                <w:lang w:val="en-US" w:eastAsia="en-US"/>
              </w:rPr>
            </w:pPr>
            <w:r>
              <w:rPr>
                <w:lang w:val="en-US" w:eastAsia="en-US"/>
              </w:rPr>
              <w:t>Neparedz stingrākas prasības.</w:t>
            </w:r>
          </w:p>
        </w:tc>
      </w:tr>
    </w:tbl>
    <w:p w:rsidR="007343D4" w:rsidRDefault="007343D4" w:rsidP="00D3668D">
      <w:pPr>
        <w:pStyle w:val="naisf"/>
        <w:spacing w:before="0" w:after="0"/>
        <w:ind w:firstLine="0"/>
      </w:pPr>
    </w:p>
    <w:p w:rsidR="007343D4" w:rsidRDefault="007343D4" w:rsidP="00D3668D">
      <w:pPr>
        <w:pStyle w:val="naisf"/>
        <w:spacing w:before="0"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3668D" w:rsidRPr="004607EF" w:rsidTr="004607EF">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D3668D" w:rsidRPr="00A129A2" w:rsidRDefault="00B44BC3" w:rsidP="004607EF">
            <w:pPr>
              <w:pStyle w:val="naiskr"/>
              <w:spacing w:before="0" w:after="0"/>
              <w:jc w:val="both"/>
              <w:rPr>
                <w:lang w:eastAsia="en-US"/>
              </w:rPr>
            </w:pPr>
            <w:r w:rsidRPr="00A129A2">
              <w:rPr>
                <w:lang w:eastAsia="en-US"/>
              </w:rPr>
              <w:t>Kā ir izmantota ES tiesību aktā paredzētā rīcības brīvība dalībvalstij pārņemt vai ieviest noteiktas ES tiesību akta normas.</w:t>
            </w:r>
          </w:p>
          <w:p w:rsidR="00D3668D" w:rsidRPr="007343D4" w:rsidRDefault="00B44BC3" w:rsidP="004607EF">
            <w:pPr>
              <w:pStyle w:val="naisf"/>
              <w:spacing w:before="0" w:after="0"/>
              <w:ind w:firstLine="0"/>
              <w:rPr>
                <w:lang w:eastAsia="en-US"/>
              </w:rPr>
            </w:pPr>
            <w:r w:rsidRPr="007343D4">
              <w:rPr>
                <w:lang w:eastAsia="en-US"/>
              </w:rPr>
              <w:t>Kādēļ?</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D3668D" w:rsidRPr="00A129A2" w:rsidRDefault="00B44BC3" w:rsidP="004607EF">
            <w:pPr>
              <w:pStyle w:val="naisf"/>
              <w:spacing w:before="0" w:after="0"/>
              <w:ind w:firstLine="0"/>
              <w:rPr>
                <w:lang w:val="en-US" w:eastAsia="en-US"/>
              </w:rPr>
            </w:pPr>
            <w:r w:rsidRPr="00A129A2">
              <w:rPr>
                <w:lang w:val="en-US" w:eastAsia="en-US"/>
              </w:rPr>
              <w:t>Nav attiecināms.</w:t>
            </w:r>
          </w:p>
        </w:tc>
      </w:tr>
      <w:tr w:rsidR="00D3668D" w:rsidRPr="004607EF" w:rsidTr="004607EF">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D3668D" w:rsidRPr="00A129A2" w:rsidRDefault="00B44BC3" w:rsidP="004607EF">
            <w:pPr>
              <w:pStyle w:val="naisf"/>
              <w:spacing w:before="0" w:after="0"/>
              <w:ind w:firstLine="0"/>
              <w:rPr>
                <w:lang w:eastAsia="en-US"/>
              </w:rPr>
            </w:pPr>
            <w:r w:rsidRPr="00A129A2">
              <w:rPr>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D3668D" w:rsidRPr="00A129A2" w:rsidRDefault="00B44BC3" w:rsidP="004607EF">
            <w:pPr>
              <w:pStyle w:val="naisf"/>
              <w:spacing w:before="0" w:after="0"/>
              <w:ind w:firstLine="0"/>
              <w:rPr>
                <w:lang w:val="en-US" w:eastAsia="en-US"/>
              </w:rPr>
            </w:pPr>
            <w:r w:rsidRPr="00A129A2">
              <w:rPr>
                <w:lang w:val="en-US" w:eastAsia="en-US"/>
              </w:rPr>
              <w:t>Nav attiecināms.</w:t>
            </w:r>
          </w:p>
        </w:tc>
      </w:tr>
      <w:tr w:rsidR="00D3668D" w:rsidRPr="004607EF" w:rsidTr="004607EF">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D3668D" w:rsidRPr="00A129A2" w:rsidRDefault="00B44BC3" w:rsidP="004607EF">
            <w:pPr>
              <w:pStyle w:val="naisf"/>
              <w:spacing w:before="0" w:after="0"/>
              <w:ind w:firstLine="0"/>
              <w:rPr>
                <w:lang w:val="en-US" w:eastAsia="en-US"/>
              </w:rPr>
            </w:pPr>
            <w:r w:rsidRPr="00A129A2">
              <w:rPr>
                <w:lang w:val="en-US" w:eastAsia="en-US"/>
              </w:rPr>
              <w:t>Cita informācija</w:t>
            </w:r>
          </w:p>
        </w:t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D3668D" w:rsidRPr="004607EF" w:rsidRDefault="00B44BC3" w:rsidP="00065838">
            <w:pPr>
              <w:pStyle w:val="naisf"/>
              <w:spacing w:before="0" w:after="0"/>
              <w:ind w:firstLine="0"/>
              <w:rPr>
                <w:sz w:val="22"/>
                <w:szCs w:val="22"/>
                <w:lang w:val="en-US" w:eastAsia="en-US"/>
              </w:rPr>
            </w:pPr>
            <w:r w:rsidRPr="00A129A2">
              <w:rPr>
                <w:lang w:val="en-US" w:eastAsia="en-US"/>
              </w:rPr>
              <w:t>Informācija par Direktīvas 2013/56/EK</w:t>
            </w:r>
            <w:r w:rsidR="00065838" w:rsidRPr="00A129A2">
              <w:rPr>
                <w:lang w:val="en-US" w:eastAsia="en-US"/>
              </w:rPr>
              <w:t xml:space="preserve"> citu</w:t>
            </w:r>
            <w:r w:rsidR="00065838">
              <w:rPr>
                <w:lang w:val="en-US" w:eastAsia="en-US"/>
              </w:rPr>
              <w:t xml:space="preserve"> </w:t>
            </w:r>
            <w:r w:rsidRPr="00A129A2">
              <w:rPr>
                <w:lang w:val="en-US" w:eastAsia="en-US"/>
              </w:rPr>
              <w:t xml:space="preserve"> normu pārņemšanu ir iekļauta noteikumu projekta</w:t>
            </w:r>
            <w:r w:rsidR="002823E1">
              <w:rPr>
                <w:sz w:val="22"/>
                <w:szCs w:val="22"/>
                <w:lang w:val="en-US" w:eastAsia="en-US"/>
              </w:rPr>
              <w:t xml:space="preserve"> “</w:t>
            </w:r>
            <w:r w:rsidR="002823E1">
              <w:t>Grozījumi Ministru kabineta 2006.gada 14.februāra noteikumos Nr.139 ”Noteikumi par atsevišķu bīstamas ķīmiskas vielas saturošu iekārtu un produktu lietošanas un marķēšanas prasībām un par videi kaitīgo preču sarakstu””</w:t>
            </w:r>
            <w:r w:rsidR="002823E1">
              <w:rPr>
                <w:lang w:val="en-US" w:eastAsia="en-US"/>
              </w:rPr>
              <w:t xml:space="preserve"> anotācijā. </w:t>
            </w:r>
          </w:p>
        </w:tc>
      </w:tr>
    </w:tbl>
    <w:p w:rsidR="00D3668D" w:rsidRDefault="00D3668D" w:rsidP="00D3668D">
      <w:pPr>
        <w:pStyle w:val="naisf"/>
        <w:spacing w:before="0" w:after="0"/>
        <w:ind w:firstLine="0"/>
      </w:pPr>
    </w:p>
    <w:p w:rsidR="00E76508" w:rsidRPr="00FB41DC" w:rsidRDefault="00E76508" w:rsidP="00E7650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4568"/>
        <w:gridCol w:w="4419"/>
      </w:tblGrid>
      <w:tr w:rsidR="00E76508" w:rsidRPr="00FB41DC" w:rsidTr="00152065">
        <w:trPr>
          <w:jc w:val="center"/>
        </w:trPr>
        <w:tc>
          <w:tcPr>
            <w:tcW w:w="9472" w:type="dxa"/>
            <w:gridSpan w:val="3"/>
            <w:tcMar>
              <w:top w:w="57" w:type="dxa"/>
              <w:left w:w="57" w:type="dxa"/>
              <w:bottom w:w="57" w:type="dxa"/>
              <w:right w:w="57" w:type="dxa"/>
            </w:tcMar>
          </w:tcPr>
          <w:p w:rsidR="00E76508" w:rsidRPr="00FB41DC" w:rsidRDefault="00E76508" w:rsidP="00152065">
            <w:pPr>
              <w:pStyle w:val="naisnod"/>
              <w:spacing w:before="0" w:after="0"/>
              <w:ind w:left="57" w:right="57"/>
            </w:pPr>
            <w:r w:rsidRPr="00FB41DC">
              <w:t xml:space="preserve">VI. Sabiedrības līdzdalība un </w:t>
            </w:r>
            <w:r>
              <w:t>komunikācijas aktivitātes</w:t>
            </w:r>
          </w:p>
        </w:tc>
      </w:tr>
      <w:tr w:rsidR="00E76508" w:rsidRPr="00FB41DC" w:rsidTr="00152065">
        <w:trPr>
          <w:trHeight w:val="553"/>
          <w:jc w:val="center"/>
        </w:trPr>
        <w:tc>
          <w:tcPr>
            <w:tcW w:w="485" w:type="dxa"/>
            <w:tcMar>
              <w:top w:w="57" w:type="dxa"/>
              <w:left w:w="57" w:type="dxa"/>
              <w:bottom w:w="57" w:type="dxa"/>
              <w:right w:w="57" w:type="dxa"/>
            </w:tcMar>
          </w:tcPr>
          <w:p w:rsidR="00E76508" w:rsidRPr="00FB41DC" w:rsidRDefault="00E76508" w:rsidP="00152065">
            <w:pPr>
              <w:pStyle w:val="naiskr"/>
              <w:spacing w:before="0" w:after="0"/>
              <w:ind w:left="57" w:right="57"/>
              <w:rPr>
                <w:bCs/>
              </w:rPr>
            </w:pPr>
            <w:r w:rsidRPr="00FB41DC">
              <w:rPr>
                <w:bCs/>
              </w:rPr>
              <w:t>1.</w:t>
            </w:r>
          </w:p>
        </w:tc>
        <w:tc>
          <w:tcPr>
            <w:tcW w:w="4568" w:type="dxa"/>
            <w:tcMar>
              <w:top w:w="57" w:type="dxa"/>
              <w:left w:w="57" w:type="dxa"/>
              <w:bottom w:w="57" w:type="dxa"/>
              <w:right w:w="57" w:type="dxa"/>
            </w:tcMar>
          </w:tcPr>
          <w:p w:rsidR="00E76508" w:rsidRPr="00FB41DC" w:rsidRDefault="00E76508" w:rsidP="00152065">
            <w:pPr>
              <w:pStyle w:val="naiskr"/>
              <w:tabs>
                <w:tab w:val="left" w:pos="170"/>
              </w:tabs>
              <w:spacing w:before="0" w:after="0"/>
              <w:ind w:left="57" w:right="57"/>
            </w:pPr>
            <w:r>
              <w:t>Plānotās sabiedrības līdzdalības un komunikācijas aktivitātes saistībā ar projektu</w:t>
            </w:r>
          </w:p>
        </w:tc>
        <w:tc>
          <w:tcPr>
            <w:tcW w:w="4419" w:type="dxa"/>
            <w:tcMar>
              <w:top w:w="57" w:type="dxa"/>
              <w:left w:w="57" w:type="dxa"/>
              <w:bottom w:w="57" w:type="dxa"/>
              <w:right w:w="57" w:type="dxa"/>
            </w:tcMar>
          </w:tcPr>
          <w:p w:rsidR="005E0F6A" w:rsidRPr="00DD49B6" w:rsidRDefault="005E0F6A" w:rsidP="005E0F6A">
            <w:pPr>
              <w:ind w:left="57" w:right="57"/>
              <w:jc w:val="both"/>
            </w:pPr>
            <w:r>
              <w:t xml:space="preserve">Noteikumu projekts 2015.gada 1.aprīlī ir </w:t>
            </w:r>
            <w:r w:rsidRPr="0002108D">
              <w:t>ievietots VARAM publiskā tīmekļa vietnē.</w:t>
            </w:r>
            <w:r>
              <w:t xml:space="preserve"> Ieinteresētajām personām ir tiesības izteikt viedokli un sniegt priekšlikumus</w:t>
            </w:r>
            <w:r w:rsidR="0039028A">
              <w:t>.</w:t>
            </w:r>
            <w:r w:rsidRPr="0002108D">
              <w:t xml:space="preserve"> </w:t>
            </w:r>
          </w:p>
          <w:p w:rsidR="00E76508" w:rsidRPr="00FB41DC" w:rsidRDefault="00E76508" w:rsidP="00152065">
            <w:pPr>
              <w:pStyle w:val="naiskr"/>
              <w:spacing w:before="0" w:after="0"/>
              <w:ind w:left="57" w:right="57"/>
              <w:jc w:val="both"/>
            </w:pPr>
          </w:p>
        </w:tc>
      </w:tr>
      <w:tr w:rsidR="00E76508" w:rsidRPr="00FB41DC" w:rsidTr="00152065">
        <w:trPr>
          <w:trHeight w:val="339"/>
          <w:jc w:val="center"/>
        </w:trPr>
        <w:tc>
          <w:tcPr>
            <w:tcW w:w="485" w:type="dxa"/>
            <w:tcMar>
              <w:top w:w="57" w:type="dxa"/>
              <w:left w:w="57" w:type="dxa"/>
              <w:bottom w:w="57" w:type="dxa"/>
              <w:right w:w="57" w:type="dxa"/>
            </w:tcMar>
          </w:tcPr>
          <w:p w:rsidR="00E76508" w:rsidRPr="00FB41DC" w:rsidRDefault="00E76508" w:rsidP="00152065">
            <w:pPr>
              <w:pStyle w:val="naiskr"/>
              <w:spacing w:before="0" w:after="0"/>
              <w:ind w:left="57" w:right="57"/>
              <w:rPr>
                <w:bCs/>
              </w:rPr>
            </w:pPr>
            <w:r w:rsidRPr="00FB41DC">
              <w:rPr>
                <w:bCs/>
              </w:rPr>
              <w:t>2.</w:t>
            </w:r>
          </w:p>
        </w:tc>
        <w:tc>
          <w:tcPr>
            <w:tcW w:w="4568" w:type="dxa"/>
            <w:tcMar>
              <w:top w:w="57" w:type="dxa"/>
              <w:left w:w="57" w:type="dxa"/>
              <w:bottom w:w="57" w:type="dxa"/>
              <w:right w:w="57" w:type="dxa"/>
            </w:tcMar>
          </w:tcPr>
          <w:p w:rsidR="00E76508" w:rsidRPr="00FB41DC" w:rsidRDefault="00E76508" w:rsidP="00152065">
            <w:pPr>
              <w:pStyle w:val="naiskr"/>
              <w:spacing w:before="0" w:after="0"/>
              <w:ind w:left="57" w:right="57"/>
            </w:pPr>
            <w:r w:rsidRPr="00FB41DC">
              <w:t xml:space="preserve">Sabiedrības līdzdalība projekta izstrādē </w:t>
            </w:r>
          </w:p>
        </w:tc>
        <w:tc>
          <w:tcPr>
            <w:tcW w:w="4419" w:type="dxa"/>
            <w:tcMar>
              <w:top w:w="57" w:type="dxa"/>
              <w:left w:w="57" w:type="dxa"/>
              <w:bottom w:w="57" w:type="dxa"/>
              <w:right w:w="57" w:type="dxa"/>
            </w:tcMar>
          </w:tcPr>
          <w:p w:rsidR="00E76508" w:rsidRPr="00FB41DC" w:rsidRDefault="00E76508" w:rsidP="00152065">
            <w:pPr>
              <w:pStyle w:val="naiskr"/>
              <w:spacing w:before="0" w:after="0"/>
              <w:ind w:left="57" w:right="57"/>
              <w:jc w:val="both"/>
            </w:pPr>
            <w:r>
              <w:t>Saņemtie priekšlikumi pēc izvērtēšanas tiks iestrādāti noteikumu projektā vai arī tiks sniegts pamatojums, kāpēc sabiedrības priekšlikumi nav iekļaujami noteikumu projektā.</w:t>
            </w:r>
          </w:p>
        </w:tc>
      </w:tr>
      <w:tr w:rsidR="00E76508" w:rsidRPr="00FB41DC" w:rsidTr="00152065">
        <w:trPr>
          <w:trHeight w:val="375"/>
          <w:jc w:val="center"/>
        </w:trPr>
        <w:tc>
          <w:tcPr>
            <w:tcW w:w="485" w:type="dxa"/>
            <w:tcMar>
              <w:top w:w="57" w:type="dxa"/>
              <w:left w:w="57" w:type="dxa"/>
              <w:bottom w:w="57" w:type="dxa"/>
              <w:right w:w="57" w:type="dxa"/>
            </w:tcMar>
          </w:tcPr>
          <w:p w:rsidR="00E76508" w:rsidRPr="00FB41DC" w:rsidRDefault="00E76508" w:rsidP="00152065">
            <w:pPr>
              <w:pStyle w:val="naiskr"/>
              <w:spacing w:before="0" w:after="0"/>
              <w:ind w:left="57" w:right="57"/>
              <w:rPr>
                <w:bCs/>
              </w:rPr>
            </w:pPr>
            <w:r w:rsidRPr="00FB41DC">
              <w:rPr>
                <w:bCs/>
              </w:rPr>
              <w:lastRenderedPageBreak/>
              <w:t>3.</w:t>
            </w:r>
          </w:p>
        </w:tc>
        <w:tc>
          <w:tcPr>
            <w:tcW w:w="4568" w:type="dxa"/>
            <w:tcMar>
              <w:top w:w="57" w:type="dxa"/>
              <w:left w:w="57" w:type="dxa"/>
              <w:bottom w:w="57" w:type="dxa"/>
              <w:right w:w="57" w:type="dxa"/>
            </w:tcMar>
          </w:tcPr>
          <w:p w:rsidR="00E76508" w:rsidRPr="00FB41DC" w:rsidRDefault="00E76508" w:rsidP="00152065">
            <w:pPr>
              <w:pStyle w:val="naiskr"/>
              <w:spacing w:before="0" w:after="0"/>
              <w:ind w:left="57" w:right="57"/>
            </w:pPr>
            <w:r w:rsidRPr="00FB41DC">
              <w:t xml:space="preserve">Sabiedrības līdzdalības rezultāti </w:t>
            </w:r>
          </w:p>
        </w:tc>
        <w:tc>
          <w:tcPr>
            <w:tcW w:w="4419" w:type="dxa"/>
            <w:tcMar>
              <w:top w:w="57" w:type="dxa"/>
              <w:left w:w="57" w:type="dxa"/>
              <w:bottom w:w="57" w:type="dxa"/>
              <w:right w:w="57" w:type="dxa"/>
            </w:tcMar>
          </w:tcPr>
          <w:p w:rsidR="00E76508" w:rsidRPr="00FB41DC" w:rsidRDefault="00ED4936" w:rsidP="00ED4936">
            <w:pPr>
              <w:pStyle w:val="naiskr"/>
              <w:spacing w:before="0" w:after="0"/>
              <w:ind w:left="57" w:right="57"/>
              <w:jc w:val="both"/>
            </w:pPr>
            <w:r>
              <w:t>Noteikumu projekta izstrādes un saskaņošanas gaitā netika saņemti priekšlikumi un komentāri.</w:t>
            </w:r>
          </w:p>
        </w:tc>
      </w:tr>
      <w:tr w:rsidR="00E76508" w:rsidRPr="00FB41DC" w:rsidTr="00152065">
        <w:trPr>
          <w:trHeight w:val="476"/>
          <w:jc w:val="center"/>
        </w:trPr>
        <w:tc>
          <w:tcPr>
            <w:tcW w:w="485" w:type="dxa"/>
            <w:tcMar>
              <w:top w:w="57" w:type="dxa"/>
              <w:left w:w="57" w:type="dxa"/>
              <w:bottom w:w="57" w:type="dxa"/>
              <w:right w:w="57" w:type="dxa"/>
            </w:tcMar>
          </w:tcPr>
          <w:p w:rsidR="00E76508" w:rsidRPr="00FB41DC" w:rsidRDefault="00E76508" w:rsidP="00152065">
            <w:pPr>
              <w:pStyle w:val="naiskr"/>
              <w:spacing w:before="0" w:after="0"/>
              <w:ind w:left="57" w:right="57"/>
              <w:rPr>
                <w:bCs/>
              </w:rPr>
            </w:pPr>
            <w:r>
              <w:rPr>
                <w:bCs/>
              </w:rPr>
              <w:t>4</w:t>
            </w:r>
            <w:r w:rsidRPr="00FB41DC">
              <w:rPr>
                <w:bCs/>
              </w:rPr>
              <w:t>.</w:t>
            </w:r>
          </w:p>
        </w:tc>
        <w:tc>
          <w:tcPr>
            <w:tcW w:w="4568" w:type="dxa"/>
            <w:tcMar>
              <w:top w:w="57" w:type="dxa"/>
              <w:left w:w="57" w:type="dxa"/>
              <w:bottom w:w="57" w:type="dxa"/>
              <w:right w:w="57" w:type="dxa"/>
            </w:tcMar>
          </w:tcPr>
          <w:p w:rsidR="00E76508" w:rsidRPr="00FB41DC" w:rsidRDefault="00E76508" w:rsidP="00152065">
            <w:pPr>
              <w:pStyle w:val="naiskr"/>
              <w:spacing w:before="0" w:after="0"/>
              <w:ind w:left="57" w:right="57"/>
            </w:pPr>
            <w:r w:rsidRPr="00FB41DC">
              <w:t>Cita informācija</w:t>
            </w:r>
          </w:p>
        </w:tc>
        <w:tc>
          <w:tcPr>
            <w:tcW w:w="4419" w:type="dxa"/>
            <w:tcMar>
              <w:top w:w="57" w:type="dxa"/>
              <w:left w:w="57" w:type="dxa"/>
              <w:bottom w:w="57" w:type="dxa"/>
              <w:right w:w="57" w:type="dxa"/>
            </w:tcMar>
          </w:tcPr>
          <w:p w:rsidR="00E76508" w:rsidRPr="00FB41DC" w:rsidRDefault="00E76508" w:rsidP="00152065">
            <w:pPr>
              <w:pStyle w:val="naiskr"/>
              <w:spacing w:before="0" w:after="0"/>
              <w:ind w:right="57"/>
              <w:jc w:val="both"/>
            </w:pPr>
            <w:r>
              <w:t>Nav.</w:t>
            </w:r>
          </w:p>
        </w:tc>
      </w:tr>
    </w:tbl>
    <w:p w:rsidR="00E76508" w:rsidRPr="00FB41DC" w:rsidRDefault="00E76508" w:rsidP="00E7650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4570"/>
        <w:gridCol w:w="4418"/>
      </w:tblGrid>
      <w:tr w:rsidR="00E76508" w:rsidRPr="00FB41DC" w:rsidTr="00152065">
        <w:trPr>
          <w:jc w:val="center"/>
        </w:trPr>
        <w:tc>
          <w:tcPr>
            <w:tcW w:w="9474" w:type="dxa"/>
            <w:gridSpan w:val="3"/>
            <w:tcBorders>
              <w:top w:val="single" w:sz="4" w:space="0" w:color="auto"/>
            </w:tcBorders>
            <w:tcMar>
              <w:top w:w="57" w:type="dxa"/>
              <w:left w:w="57" w:type="dxa"/>
              <w:bottom w:w="57" w:type="dxa"/>
              <w:right w:w="57" w:type="dxa"/>
            </w:tcMar>
          </w:tcPr>
          <w:p w:rsidR="00E76508" w:rsidRPr="00FB41DC" w:rsidRDefault="00E76508" w:rsidP="00152065">
            <w:pPr>
              <w:pStyle w:val="naisnod"/>
              <w:spacing w:before="0" w:after="0"/>
              <w:ind w:left="57" w:right="57"/>
            </w:pPr>
            <w:r w:rsidRPr="00FB41DC">
              <w:t>VII. Tiesību akta projekta izpildes nodrošināšana un tās ietekme uz institūcijām</w:t>
            </w:r>
          </w:p>
        </w:tc>
      </w:tr>
      <w:tr w:rsidR="00E76508" w:rsidRPr="00FB41DC" w:rsidTr="00152065">
        <w:trPr>
          <w:trHeight w:val="427"/>
          <w:jc w:val="center"/>
        </w:trPr>
        <w:tc>
          <w:tcPr>
            <w:tcW w:w="486" w:type="dxa"/>
            <w:tcMar>
              <w:top w:w="57" w:type="dxa"/>
              <w:left w:w="57" w:type="dxa"/>
              <w:bottom w:w="57" w:type="dxa"/>
              <w:right w:w="57" w:type="dxa"/>
            </w:tcMar>
          </w:tcPr>
          <w:p w:rsidR="00E76508" w:rsidRPr="00FB41DC" w:rsidRDefault="00E76508" w:rsidP="00152065">
            <w:pPr>
              <w:pStyle w:val="naisnod"/>
              <w:spacing w:before="0" w:after="0"/>
              <w:ind w:left="57" w:right="57"/>
              <w:jc w:val="left"/>
              <w:rPr>
                <w:b w:val="0"/>
              </w:rPr>
            </w:pPr>
            <w:r w:rsidRPr="00FB41DC">
              <w:rPr>
                <w:b w:val="0"/>
              </w:rPr>
              <w:t>1.</w:t>
            </w:r>
          </w:p>
        </w:tc>
        <w:tc>
          <w:tcPr>
            <w:tcW w:w="4570" w:type="dxa"/>
            <w:tcMar>
              <w:top w:w="57" w:type="dxa"/>
              <w:left w:w="57" w:type="dxa"/>
              <w:bottom w:w="57" w:type="dxa"/>
              <w:right w:w="57" w:type="dxa"/>
            </w:tcMar>
          </w:tcPr>
          <w:p w:rsidR="00E76508" w:rsidRPr="00FB41DC" w:rsidRDefault="00E76508" w:rsidP="00152065">
            <w:pPr>
              <w:pStyle w:val="naisf"/>
              <w:spacing w:before="0" w:after="0"/>
              <w:ind w:left="57" w:right="57" w:firstLine="0"/>
              <w:jc w:val="left"/>
            </w:pPr>
            <w:r w:rsidRPr="00FB41DC">
              <w:t xml:space="preserve">Projekta izpildē iesaistītās institūcijas </w:t>
            </w:r>
          </w:p>
        </w:tc>
        <w:tc>
          <w:tcPr>
            <w:tcW w:w="4418" w:type="dxa"/>
            <w:tcMar>
              <w:top w:w="57" w:type="dxa"/>
              <w:left w:w="57" w:type="dxa"/>
              <w:bottom w:w="57" w:type="dxa"/>
              <w:right w:w="57" w:type="dxa"/>
            </w:tcMar>
          </w:tcPr>
          <w:p w:rsidR="00E76508" w:rsidRPr="00BA241B" w:rsidRDefault="00E76508" w:rsidP="00B63CF5">
            <w:pPr>
              <w:pStyle w:val="naisc"/>
              <w:spacing w:before="0" w:after="0"/>
              <w:jc w:val="both"/>
            </w:pPr>
            <w:r w:rsidRPr="00BA241B">
              <w:t>Vides aizsardzības un reģionālās attīstības ministrija</w:t>
            </w:r>
            <w:r w:rsidR="00B63CF5">
              <w:t xml:space="preserve"> un </w:t>
            </w:r>
            <w:r>
              <w:t>biedrība „Latvijas Elektrotehnikas un elektronikas rūpniecības asociācija”.</w:t>
            </w:r>
          </w:p>
        </w:tc>
      </w:tr>
      <w:tr w:rsidR="00E76508" w:rsidRPr="00FB41DC" w:rsidTr="00152065">
        <w:trPr>
          <w:trHeight w:val="463"/>
          <w:jc w:val="center"/>
        </w:trPr>
        <w:tc>
          <w:tcPr>
            <w:tcW w:w="486" w:type="dxa"/>
            <w:tcMar>
              <w:top w:w="57" w:type="dxa"/>
              <w:left w:w="57" w:type="dxa"/>
              <w:bottom w:w="57" w:type="dxa"/>
              <w:right w:w="57" w:type="dxa"/>
            </w:tcMar>
          </w:tcPr>
          <w:p w:rsidR="00E76508" w:rsidRPr="00FB41DC" w:rsidRDefault="00E76508" w:rsidP="00152065">
            <w:pPr>
              <w:pStyle w:val="naisnod"/>
              <w:spacing w:before="0" w:after="0"/>
              <w:ind w:left="57" w:right="57"/>
              <w:jc w:val="left"/>
              <w:rPr>
                <w:b w:val="0"/>
              </w:rPr>
            </w:pPr>
            <w:r w:rsidRPr="00FB41DC">
              <w:rPr>
                <w:b w:val="0"/>
              </w:rPr>
              <w:t>2.</w:t>
            </w:r>
          </w:p>
        </w:tc>
        <w:tc>
          <w:tcPr>
            <w:tcW w:w="4570" w:type="dxa"/>
            <w:tcMar>
              <w:top w:w="57" w:type="dxa"/>
              <w:left w:w="57" w:type="dxa"/>
              <w:bottom w:w="57" w:type="dxa"/>
              <w:right w:w="57" w:type="dxa"/>
            </w:tcMar>
          </w:tcPr>
          <w:p w:rsidR="00E76508" w:rsidRPr="00FB41DC" w:rsidRDefault="00E76508" w:rsidP="00152065">
            <w:pPr>
              <w:pStyle w:val="naisf"/>
              <w:spacing w:before="0" w:after="0"/>
              <w:ind w:left="57" w:right="57" w:firstLine="0"/>
              <w:jc w:val="left"/>
            </w:pPr>
            <w:r w:rsidRPr="00FB41DC">
              <w:t xml:space="preserve">Projekta izpildes ietekme uz pārvaldes funkcijām </w:t>
            </w:r>
            <w:r>
              <w:t>un institucionālo struktūru</w:t>
            </w:r>
          </w:p>
        </w:tc>
        <w:tc>
          <w:tcPr>
            <w:tcW w:w="4418" w:type="dxa"/>
            <w:tcMar>
              <w:top w:w="57" w:type="dxa"/>
              <w:left w:w="57" w:type="dxa"/>
              <w:bottom w:w="57" w:type="dxa"/>
              <w:right w:w="57" w:type="dxa"/>
            </w:tcMar>
          </w:tcPr>
          <w:p w:rsidR="00817E7E" w:rsidRDefault="00E76508" w:rsidP="00DF72A7">
            <w:pPr>
              <w:pStyle w:val="naisnod"/>
              <w:spacing w:before="0" w:after="0"/>
              <w:ind w:right="57"/>
              <w:jc w:val="both"/>
              <w:rPr>
                <w:b w:val="0"/>
              </w:rPr>
            </w:pPr>
            <w:r>
              <w:rPr>
                <w:b w:val="0"/>
              </w:rPr>
              <w:t>Noteikumu projekts neietekmē iesaistīto institūciju funkcijas un uzdevumus.</w:t>
            </w:r>
          </w:p>
          <w:p w:rsidR="00E76508" w:rsidRPr="00F862E3" w:rsidRDefault="00E76508" w:rsidP="00B63CF5">
            <w:pPr>
              <w:pStyle w:val="naisnod"/>
              <w:spacing w:before="0" w:after="0"/>
              <w:ind w:right="57"/>
              <w:jc w:val="both"/>
              <w:rPr>
                <w:b w:val="0"/>
              </w:rPr>
            </w:pPr>
            <w:r>
              <w:rPr>
                <w:b w:val="0"/>
              </w:rPr>
              <w:t xml:space="preserve">Nav paredzēta jauno institūciju </w:t>
            </w:r>
            <w:r w:rsidR="00867860">
              <w:rPr>
                <w:b w:val="0"/>
              </w:rPr>
              <w:t xml:space="preserve">izveide, likvidēšana </w:t>
            </w:r>
            <w:r w:rsidR="00B63CF5">
              <w:rPr>
                <w:b w:val="0"/>
              </w:rPr>
              <w:t xml:space="preserve">vai </w:t>
            </w:r>
            <w:r>
              <w:rPr>
                <w:b w:val="0"/>
              </w:rPr>
              <w:t>reorganizēšana</w:t>
            </w:r>
          </w:p>
        </w:tc>
      </w:tr>
      <w:tr w:rsidR="00E76508" w:rsidRPr="00FB41DC" w:rsidTr="00152065">
        <w:trPr>
          <w:trHeight w:val="476"/>
          <w:jc w:val="center"/>
        </w:trPr>
        <w:tc>
          <w:tcPr>
            <w:tcW w:w="486" w:type="dxa"/>
            <w:tcMar>
              <w:top w:w="57" w:type="dxa"/>
              <w:left w:w="57" w:type="dxa"/>
              <w:bottom w:w="57" w:type="dxa"/>
              <w:right w:w="57" w:type="dxa"/>
            </w:tcMar>
          </w:tcPr>
          <w:p w:rsidR="00E76508" w:rsidRPr="00FB41DC" w:rsidRDefault="00E76508" w:rsidP="00152065">
            <w:pPr>
              <w:pStyle w:val="naiskr"/>
              <w:spacing w:before="0" w:after="0"/>
              <w:ind w:left="57" w:right="57"/>
            </w:pPr>
            <w:r>
              <w:t>3</w:t>
            </w:r>
            <w:r w:rsidRPr="00FB41DC">
              <w:t>.</w:t>
            </w:r>
          </w:p>
        </w:tc>
        <w:tc>
          <w:tcPr>
            <w:tcW w:w="4570" w:type="dxa"/>
            <w:tcMar>
              <w:top w:w="57" w:type="dxa"/>
              <w:left w:w="57" w:type="dxa"/>
              <w:bottom w:w="57" w:type="dxa"/>
              <w:right w:w="57" w:type="dxa"/>
            </w:tcMar>
          </w:tcPr>
          <w:p w:rsidR="00E76508" w:rsidRPr="00FB41DC" w:rsidRDefault="00E76508" w:rsidP="00152065">
            <w:pPr>
              <w:pStyle w:val="naiskr"/>
              <w:spacing w:before="0" w:after="0"/>
              <w:ind w:left="57" w:right="57"/>
            </w:pPr>
            <w:r w:rsidRPr="00FB41DC">
              <w:t>Cita informācija</w:t>
            </w:r>
          </w:p>
        </w:tc>
        <w:tc>
          <w:tcPr>
            <w:tcW w:w="4418" w:type="dxa"/>
            <w:tcMar>
              <w:top w:w="57" w:type="dxa"/>
              <w:left w:w="57" w:type="dxa"/>
              <w:bottom w:w="57" w:type="dxa"/>
              <w:right w:w="57" w:type="dxa"/>
            </w:tcMar>
          </w:tcPr>
          <w:p w:rsidR="00E76508" w:rsidRPr="00FB41DC" w:rsidRDefault="00E76508" w:rsidP="00152065">
            <w:pPr>
              <w:pStyle w:val="naiskr"/>
              <w:spacing w:before="0" w:after="0"/>
              <w:ind w:left="57" w:right="57"/>
            </w:pPr>
            <w:r>
              <w:t>Nav.</w:t>
            </w:r>
          </w:p>
        </w:tc>
      </w:tr>
    </w:tbl>
    <w:p w:rsidR="00E76508" w:rsidRDefault="00E76508" w:rsidP="00E76508">
      <w:pPr>
        <w:pStyle w:val="naisf"/>
        <w:spacing w:before="0" w:after="0"/>
        <w:ind w:firstLine="374"/>
        <w:rPr>
          <w:b/>
        </w:rPr>
      </w:pPr>
    </w:p>
    <w:p w:rsidR="00E76508" w:rsidRPr="003575A4" w:rsidRDefault="00737D55" w:rsidP="003575A4">
      <w:pPr>
        <w:pStyle w:val="tvhtml1"/>
        <w:jc w:val="both"/>
        <w:rPr>
          <w:rFonts w:ascii="Times New Roman" w:hAnsi="Times New Roman"/>
          <w:sz w:val="24"/>
          <w:szCs w:val="24"/>
          <w:lang w:val="lv-LV"/>
        </w:rPr>
      </w:pPr>
      <w:r>
        <w:rPr>
          <w:rFonts w:ascii="Times New Roman" w:hAnsi="Times New Roman"/>
          <w:b/>
          <w:sz w:val="24"/>
          <w:szCs w:val="24"/>
          <w:lang w:val="lv-LV"/>
        </w:rPr>
        <w:t>Anotācijas III</w:t>
      </w:r>
      <w:r w:rsidR="00400976">
        <w:rPr>
          <w:rFonts w:ascii="Times New Roman" w:hAnsi="Times New Roman"/>
          <w:b/>
          <w:sz w:val="24"/>
          <w:szCs w:val="24"/>
          <w:lang w:val="lv-LV"/>
        </w:rPr>
        <w:t xml:space="preserve"> </w:t>
      </w:r>
      <w:r w:rsidR="00E76508" w:rsidRPr="008D0542">
        <w:rPr>
          <w:rFonts w:ascii="Times New Roman" w:hAnsi="Times New Roman"/>
          <w:b/>
          <w:sz w:val="24"/>
          <w:szCs w:val="24"/>
          <w:lang w:val="lv-LV"/>
        </w:rPr>
        <w:t xml:space="preserve">sadaļa </w:t>
      </w:r>
      <w:r w:rsidR="00071B76">
        <w:rPr>
          <w:rFonts w:ascii="Times New Roman" w:hAnsi="Times New Roman"/>
          <w:b/>
          <w:sz w:val="24"/>
          <w:szCs w:val="24"/>
          <w:lang w:val="lv-LV"/>
        </w:rPr>
        <w:t xml:space="preserve">un V.sadaļas 2.tabula </w:t>
      </w:r>
      <w:r w:rsidR="00E76508" w:rsidRPr="008D0542">
        <w:rPr>
          <w:rFonts w:ascii="Times New Roman" w:hAnsi="Times New Roman"/>
          <w:b/>
          <w:sz w:val="24"/>
          <w:szCs w:val="24"/>
          <w:lang w:val="lv-LV"/>
        </w:rPr>
        <w:t xml:space="preserve">- </w:t>
      </w:r>
      <w:r w:rsidR="00E76508" w:rsidRPr="008D0542">
        <w:rPr>
          <w:rFonts w:ascii="Times New Roman" w:hAnsi="Times New Roman"/>
          <w:sz w:val="24"/>
          <w:szCs w:val="24"/>
          <w:lang w:val="lv-LV"/>
        </w:rPr>
        <w:t>proje</w:t>
      </w:r>
      <w:r w:rsidR="00E76508" w:rsidRPr="008D0542">
        <w:rPr>
          <w:rFonts w:ascii="Times New Roman" w:hAnsi="Times New Roman"/>
          <w:iCs/>
          <w:sz w:val="24"/>
          <w:szCs w:val="24"/>
          <w:lang w:val="lv-LV"/>
        </w:rPr>
        <w:t>kts šo jomu neskar.</w:t>
      </w:r>
    </w:p>
    <w:p w:rsidR="00E76508" w:rsidRDefault="00E76508" w:rsidP="00E76508">
      <w:pPr>
        <w:pStyle w:val="naisf"/>
        <w:spacing w:before="0" w:after="0"/>
        <w:ind w:firstLine="374"/>
        <w:rPr>
          <w:b/>
        </w:rPr>
      </w:pPr>
    </w:p>
    <w:p w:rsidR="00E76508" w:rsidRPr="00ED433D" w:rsidRDefault="00E76508" w:rsidP="00E7650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rsidR="00E76508" w:rsidRPr="00ED433D" w:rsidRDefault="00E76508" w:rsidP="00E76508">
      <w:r w:rsidRPr="00ED433D">
        <w:t xml:space="preserve">reģionālās attīstības ministrs                                        </w:t>
      </w:r>
      <w:r w:rsidRPr="00ED433D">
        <w:tab/>
      </w:r>
      <w:r>
        <w:tab/>
      </w:r>
      <w:r w:rsidR="0008515A">
        <w:t>K.Gerhards</w:t>
      </w:r>
    </w:p>
    <w:p w:rsidR="00E76508" w:rsidRPr="00ED433D" w:rsidRDefault="00E76508" w:rsidP="00E76508"/>
    <w:p w:rsidR="00E76508" w:rsidRPr="00ED433D" w:rsidRDefault="00E76508" w:rsidP="00E76508">
      <w:r w:rsidRPr="00ED433D">
        <w:t>Iesniedzējs:</w:t>
      </w:r>
    </w:p>
    <w:p w:rsidR="00E76508" w:rsidRPr="00ED433D" w:rsidRDefault="00E76508" w:rsidP="00E7650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rsidR="00E76508" w:rsidRPr="00ED433D" w:rsidRDefault="00E76508" w:rsidP="00E76508">
      <w:r w:rsidRPr="00ED433D">
        <w:t>reģionālās attīstības ministrs</w:t>
      </w:r>
      <w:r w:rsidRPr="00ED433D">
        <w:tab/>
      </w:r>
      <w:r w:rsidRPr="00ED433D">
        <w:tab/>
      </w:r>
      <w:r w:rsidRPr="00ED433D">
        <w:tab/>
      </w:r>
      <w:r w:rsidRPr="00ED433D">
        <w:tab/>
        <w:t xml:space="preserve">  </w:t>
      </w:r>
      <w:r w:rsidRPr="00ED433D">
        <w:tab/>
      </w:r>
      <w:r>
        <w:tab/>
      </w:r>
      <w:r w:rsidR="0008515A">
        <w:t>K.Gerhards</w:t>
      </w:r>
    </w:p>
    <w:p w:rsidR="00E76508" w:rsidRPr="00ED433D" w:rsidRDefault="00E76508" w:rsidP="00E76508"/>
    <w:p w:rsidR="00E76508" w:rsidRPr="00ED433D" w:rsidRDefault="00E76508" w:rsidP="00E76508">
      <w:r w:rsidRPr="00ED433D">
        <w:t>Vīza:</w:t>
      </w:r>
    </w:p>
    <w:p w:rsidR="00E76508" w:rsidRPr="00C81DB3" w:rsidRDefault="00E76508" w:rsidP="00C81DB3">
      <w:r w:rsidRPr="00ED433D">
        <w:t>V</w:t>
      </w:r>
      <w:r>
        <w:t>alsts sekretārs</w:t>
      </w:r>
      <w:r>
        <w:tab/>
      </w:r>
      <w:r>
        <w:tab/>
      </w:r>
      <w:r>
        <w:tab/>
      </w:r>
      <w:r>
        <w:tab/>
      </w:r>
      <w:r>
        <w:tab/>
      </w:r>
      <w:r>
        <w:tab/>
      </w:r>
      <w:r>
        <w:tab/>
        <w:t>G.Puķītis</w:t>
      </w:r>
      <w:r w:rsidRPr="00ED433D">
        <w:t xml:space="preserve">                         </w:t>
      </w:r>
    </w:p>
    <w:p w:rsidR="00E76508" w:rsidRPr="00F01AAE" w:rsidRDefault="00E76508" w:rsidP="00E76508">
      <w:pPr>
        <w:pStyle w:val="tv2161"/>
        <w:spacing w:before="0" w:line="240" w:lineRule="auto"/>
        <w:ind w:firstLine="0"/>
        <w:jc w:val="both"/>
        <w:rPr>
          <w:rFonts w:ascii="Times New Roman" w:hAnsi="Times New Roman"/>
          <w:sz w:val="28"/>
          <w:szCs w:val="28"/>
        </w:rPr>
      </w:pPr>
      <w:bookmarkStart w:id="1" w:name="p2008"/>
      <w:bookmarkEnd w:id="1"/>
    </w:p>
    <w:p w:rsidR="00E76508" w:rsidRPr="00C81DB3" w:rsidRDefault="004775CF" w:rsidP="00C81DB3">
      <w:pPr>
        <w:pStyle w:val="tv2161"/>
        <w:spacing w:before="0" w:line="240" w:lineRule="auto"/>
        <w:ind w:firstLine="0"/>
        <w:jc w:val="left"/>
        <w:rPr>
          <w:rFonts w:ascii="Times New Roman" w:hAnsi="Times New Roman"/>
          <w:sz w:val="28"/>
          <w:szCs w:val="28"/>
        </w:rPr>
      </w:pPr>
      <w:r>
        <w:rPr>
          <w:rFonts w:ascii="Times New Roman" w:hAnsi="Times New Roman"/>
          <w:sz w:val="20"/>
          <w:szCs w:val="20"/>
        </w:rPr>
        <w:t>31</w:t>
      </w:r>
      <w:r w:rsidR="0076004D">
        <w:rPr>
          <w:rFonts w:ascii="Times New Roman" w:hAnsi="Times New Roman"/>
          <w:sz w:val="20"/>
          <w:szCs w:val="20"/>
        </w:rPr>
        <w:t>.07</w:t>
      </w:r>
      <w:r w:rsidR="00A009AE" w:rsidRPr="00C81DB3">
        <w:rPr>
          <w:rFonts w:ascii="Times New Roman" w:hAnsi="Times New Roman"/>
          <w:sz w:val="20"/>
          <w:szCs w:val="20"/>
        </w:rPr>
        <w:t>.2015</w:t>
      </w:r>
      <w:r w:rsidR="00E4147A">
        <w:rPr>
          <w:rFonts w:ascii="Times New Roman" w:hAnsi="Times New Roman"/>
          <w:sz w:val="20"/>
          <w:szCs w:val="20"/>
        </w:rPr>
        <w:t>., 1</w:t>
      </w:r>
      <w:r w:rsidR="007609FF">
        <w:rPr>
          <w:rFonts w:ascii="Times New Roman" w:hAnsi="Times New Roman"/>
          <w:sz w:val="20"/>
          <w:szCs w:val="20"/>
        </w:rPr>
        <w:t>1</w:t>
      </w:r>
      <w:r w:rsidR="00E4147A">
        <w:rPr>
          <w:rFonts w:ascii="Times New Roman" w:hAnsi="Times New Roman"/>
          <w:sz w:val="20"/>
          <w:szCs w:val="20"/>
        </w:rPr>
        <w:t>:00</w:t>
      </w:r>
    </w:p>
    <w:p w:rsidR="00E76508" w:rsidRPr="00507719" w:rsidRDefault="007609FF" w:rsidP="00E76508">
      <w:pPr>
        <w:tabs>
          <w:tab w:val="left" w:pos="3465"/>
        </w:tabs>
        <w:rPr>
          <w:sz w:val="20"/>
          <w:szCs w:val="20"/>
        </w:rPr>
      </w:pPr>
      <w:r>
        <w:rPr>
          <w:sz w:val="20"/>
          <w:szCs w:val="20"/>
        </w:rPr>
        <w:t>1883</w:t>
      </w:r>
      <w:r w:rsidR="00E76508" w:rsidRPr="00507719">
        <w:rPr>
          <w:sz w:val="20"/>
          <w:szCs w:val="20"/>
        </w:rPr>
        <w:tab/>
      </w:r>
    </w:p>
    <w:p w:rsidR="00E76508" w:rsidRPr="00507719" w:rsidRDefault="00E76508" w:rsidP="00E76508">
      <w:pPr>
        <w:rPr>
          <w:sz w:val="20"/>
          <w:szCs w:val="20"/>
        </w:rPr>
      </w:pPr>
      <w:r w:rsidRPr="00507719">
        <w:rPr>
          <w:sz w:val="20"/>
          <w:szCs w:val="20"/>
        </w:rPr>
        <w:t>I.Doniņa</w:t>
      </w:r>
    </w:p>
    <w:p w:rsidR="00296B00" w:rsidRPr="00C81DB3" w:rsidRDefault="00E76508">
      <w:pPr>
        <w:rPr>
          <w:sz w:val="20"/>
          <w:szCs w:val="20"/>
        </w:rPr>
      </w:pPr>
      <w:r w:rsidRPr="00507719">
        <w:rPr>
          <w:sz w:val="20"/>
          <w:szCs w:val="20"/>
        </w:rPr>
        <w:t>6</w:t>
      </w:r>
      <w:smartTag w:uri="schemas-tilde-lv/tildestengine" w:element="phone">
        <w:smartTagPr>
          <w:attr w:name="phone_number" w:val="7026515"/>
        </w:smartTagPr>
        <w:r w:rsidRPr="00507719">
          <w:rPr>
            <w:sz w:val="20"/>
            <w:szCs w:val="20"/>
          </w:rPr>
          <w:t>7026515</w:t>
        </w:r>
      </w:smartTag>
      <w:r w:rsidRPr="00507719">
        <w:rPr>
          <w:sz w:val="20"/>
          <w:szCs w:val="20"/>
        </w:rPr>
        <w:t xml:space="preserve">; </w:t>
      </w:r>
      <w:hyperlink r:id="rId9" w:history="1">
        <w:r w:rsidRPr="00507719">
          <w:rPr>
            <w:rStyle w:val="Hyperlink"/>
            <w:sz w:val="20"/>
            <w:szCs w:val="20"/>
          </w:rPr>
          <w:t>ilze.donina@varam.gov.lv</w:t>
        </w:r>
      </w:hyperlink>
    </w:p>
    <w:sectPr w:rsidR="00296B00" w:rsidRPr="00C81DB3" w:rsidSect="00152065">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A7" w:rsidRDefault="00CD31A7">
      <w:r>
        <w:separator/>
      </w:r>
    </w:p>
  </w:endnote>
  <w:endnote w:type="continuationSeparator" w:id="0">
    <w:p w:rsidR="00CD31A7" w:rsidRDefault="00C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Liberation Serif">
    <w:altName w:val="Times New Roman"/>
    <w:panose1 w:val="02020603050405020304"/>
    <w:charset w:val="BA"/>
    <w:family w:val="roman"/>
    <w:notTrueType/>
    <w:pitch w:val="variable"/>
    <w:sig w:usb0="00000005" w:usb1="00000000" w:usb2="00000000" w:usb3="00000000" w:csb0="00000080" w:csb1="00000000"/>
  </w:font>
  <w:font w:name="WenQuanYi Micro Hei">
    <w:altName w:val="MS Mincho"/>
    <w:charset w:val="80"/>
    <w:family w:val="auto"/>
    <w:pitch w:val="variable"/>
  </w:font>
  <w:font w:name="Lohit Hindi">
    <w:altName w:val="MS Mincho"/>
    <w:charset w:val="80"/>
    <w:family w:val="auto"/>
    <w:pitch w:val="default"/>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3" w:rsidRPr="00FC05EE" w:rsidRDefault="00873A83" w:rsidP="00A009AE">
    <w:pPr>
      <w:pStyle w:val="Title"/>
      <w:jc w:val="both"/>
      <w:rPr>
        <w:sz w:val="20"/>
        <w:szCs w:val="20"/>
      </w:rPr>
    </w:pPr>
    <w:r w:rsidRPr="00FC05EE">
      <w:rPr>
        <w:b w:val="0"/>
        <w:sz w:val="20"/>
        <w:szCs w:val="20"/>
      </w:rPr>
      <w:t>VARAMAnot_310715_bistatkrit; Ministru kabineta noteikumu projekta ”</w:t>
    </w:r>
    <w:r w:rsidRPr="00FC05EE">
      <w:rPr>
        <w:b w:val="0"/>
        <w:bCs w:val="0"/>
        <w:sz w:val="20"/>
        <w:szCs w:val="20"/>
      </w:rPr>
      <w:t>Grozījumi Ministru kabineta</w:t>
    </w:r>
    <w:r w:rsidRPr="00FC05EE">
      <w:rPr>
        <w:rFonts w:ascii="Verdana" w:eastAsia="Calibri" w:hAnsi="Verdana" w:cs="Verdana"/>
        <w:b w:val="0"/>
        <w:color w:val="656565"/>
        <w:sz w:val="20"/>
        <w:szCs w:val="20"/>
      </w:rPr>
      <w:t xml:space="preserve"> </w:t>
    </w:r>
    <w:r w:rsidRPr="00FC05EE">
      <w:rPr>
        <w:rFonts w:eastAsia="Calibri"/>
        <w:b w:val="0"/>
        <w:sz w:val="20"/>
        <w:szCs w:val="20"/>
      </w:rPr>
      <w:t xml:space="preserve">2011.gada 21.jūnija noteikumos Nr.485 „Atsevišķu veidu bīstamo atkritumu apsaimniekošanas kārtība”” </w:t>
    </w:r>
    <w:r w:rsidRPr="00FC05EE">
      <w:rPr>
        <w:b w:val="0"/>
        <w:sz w:val="20"/>
        <w:szCs w:val="20"/>
      </w:rPr>
      <w:t xml:space="preserve">sākotnējās ietekmes novērtējuma </w:t>
    </w:r>
    <w:smartTag w:uri="schemas-tilde-lv/tildestengine" w:element="veidnes">
      <w:smartTagPr>
        <w:attr w:name="text" w:val="ziņojums"/>
        <w:attr w:name="baseform" w:val="ziņojums"/>
        <w:attr w:name="id" w:val="-1"/>
      </w:smartTagPr>
      <w:r w:rsidRPr="00FC05EE">
        <w:rPr>
          <w:b w:val="0"/>
          <w:sz w:val="20"/>
          <w:szCs w:val="20"/>
        </w:rPr>
        <w:t>ziņojums</w:t>
      </w:r>
    </w:smartTag>
    <w:r w:rsidRPr="00FC05EE">
      <w:rPr>
        <w:b w:val="0"/>
        <w:sz w:val="20"/>
        <w:szCs w:val="20"/>
      </w:rPr>
      <w:t xml:space="preserve"> (anotācija)</w:t>
    </w:r>
  </w:p>
  <w:p w:rsidR="00873A83" w:rsidRPr="009F5E0A" w:rsidRDefault="00873A83" w:rsidP="00152065">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3" w:rsidRPr="00FC05EE" w:rsidRDefault="00873A83" w:rsidP="00A009AE">
    <w:pPr>
      <w:pStyle w:val="Title"/>
      <w:jc w:val="both"/>
      <w:rPr>
        <w:sz w:val="20"/>
        <w:szCs w:val="20"/>
      </w:rPr>
    </w:pPr>
    <w:r w:rsidRPr="00FC05EE">
      <w:rPr>
        <w:b w:val="0"/>
        <w:sz w:val="20"/>
        <w:szCs w:val="20"/>
      </w:rPr>
      <w:t>VARAMAnot_310715_bistatkrit; Ministru kabineta noteikumu projekta ”</w:t>
    </w:r>
    <w:r w:rsidRPr="00FC05EE">
      <w:rPr>
        <w:b w:val="0"/>
        <w:bCs w:val="0"/>
        <w:sz w:val="20"/>
        <w:szCs w:val="20"/>
      </w:rPr>
      <w:t>Grozījumi Ministru kabineta</w:t>
    </w:r>
    <w:r w:rsidRPr="00FC05EE">
      <w:rPr>
        <w:rFonts w:ascii="Verdana" w:eastAsia="Calibri" w:hAnsi="Verdana" w:cs="Verdana"/>
        <w:b w:val="0"/>
        <w:color w:val="656565"/>
        <w:sz w:val="20"/>
        <w:szCs w:val="20"/>
      </w:rPr>
      <w:t xml:space="preserve"> </w:t>
    </w:r>
    <w:r w:rsidRPr="00FC05EE">
      <w:rPr>
        <w:rFonts w:eastAsia="Calibri"/>
        <w:b w:val="0"/>
        <w:sz w:val="20"/>
        <w:szCs w:val="20"/>
      </w:rPr>
      <w:t xml:space="preserve">2011.gada 21.jūnija noteikumos Nr.485 „Atsevišķu veidu bīstamo atkritumu apsaimniekošanas kārtība”” </w:t>
    </w:r>
    <w:r w:rsidRPr="00FC05EE">
      <w:rPr>
        <w:b w:val="0"/>
        <w:sz w:val="20"/>
        <w:szCs w:val="20"/>
      </w:rPr>
      <w:t xml:space="preserve">sākotnējās ietekmes novērtējuma </w:t>
    </w:r>
    <w:smartTag w:uri="schemas-tilde-lv/tildestengine" w:element="veidnes">
      <w:smartTagPr>
        <w:attr w:name="text" w:val="ziņojums"/>
        <w:attr w:name="baseform" w:val="ziņojums"/>
        <w:attr w:name="id" w:val="-1"/>
      </w:smartTagPr>
      <w:r w:rsidRPr="00FC05EE">
        <w:rPr>
          <w:b w:val="0"/>
          <w:sz w:val="20"/>
          <w:szCs w:val="20"/>
        </w:rPr>
        <w:t>ziņojums</w:t>
      </w:r>
    </w:smartTag>
    <w:r w:rsidRPr="00FC05EE">
      <w:rPr>
        <w:b w:val="0"/>
        <w:sz w:val="20"/>
        <w:szCs w:val="20"/>
      </w:rPr>
      <w:t xml:space="preserve"> (anotācija)</w:t>
    </w:r>
  </w:p>
  <w:p w:rsidR="00873A83" w:rsidRPr="0091577B" w:rsidRDefault="00873A83" w:rsidP="00152065">
    <w:pPr>
      <w:pStyle w:val="Title"/>
      <w:jc w:val="both"/>
      <w:rPr>
        <w:b w:val="0"/>
        <w:bCs w:val="0"/>
      </w:rPr>
    </w:pPr>
  </w:p>
  <w:p w:rsidR="00873A83" w:rsidRPr="00503A61" w:rsidRDefault="00873A83" w:rsidP="00152065">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A7" w:rsidRDefault="00CD31A7">
      <w:r>
        <w:separator/>
      </w:r>
    </w:p>
  </w:footnote>
  <w:footnote w:type="continuationSeparator" w:id="0">
    <w:p w:rsidR="00CD31A7" w:rsidRDefault="00CD31A7">
      <w:r>
        <w:continuationSeparator/>
      </w:r>
    </w:p>
  </w:footnote>
  <w:footnote w:id="1">
    <w:p w:rsidR="00873A83" w:rsidRDefault="00873A83" w:rsidP="00384860">
      <w:pPr>
        <w:pStyle w:val="FootnoteText"/>
      </w:pPr>
      <w:r>
        <w:rPr>
          <w:rStyle w:val="FootnoteReference"/>
        </w:rPr>
        <w:footnoteRef/>
      </w:r>
      <w:r>
        <w:t xml:space="preserve"> </w:t>
      </w:r>
      <w:hyperlink r:id="rId1" w:history="1">
        <w:r w:rsidRPr="00F57065">
          <w:rPr>
            <w:rStyle w:val="Hyperlink"/>
          </w:rPr>
          <w:t>http://data.csb.gov.lv/pxweb/lv/Sociala/Sociala__ikgad__dsamaksa/?tablelist=true&amp;rxid=562c2205-ba57-4130-b63a-6991f49ab6fe</w:t>
        </w:r>
      </w:hyperlink>
      <w:r>
        <w:t xml:space="preserve"> </w:t>
      </w:r>
    </w:p>
  </w:footnote>
  <w:footnote w:id="2">
    <w:p w:rsidR="00873A83" w:rsidRDefault="00873A83" w:rsidP="00477113">
      <w:pPr>
        <w:pStyle w:val="FootnoteText"/>
      </w:pPr>
      <w:r>
        <w:rPr>
          <w:rStyle w:val="FootnoteReference"/>
        </w:rPr>
        <w:footnoteRef/>
      </w:r>
      <w:r>
        <w:t xml:space="preserve"> </w:t>
      </w:r>
      <w:hyperlink r:id="rId2" w:history="1">
        <w:r w:rsidRPr="00F57065">
          <w:rPr>
            <w:rStyle w:val="Hyperlink"/>
          </w:rPr>
          <w:t>http://data.csb.gov.lv/pxweb/lv/Sociala/Sociala__ikgad__dsamaksa/?tablelist=true&amp;rxid=562c2205-ba57-4130-b63a-6991f49ab6fe</w:t>
        </w:r>
      </w:hyperlink>
      <w:r>
        <w:t xml:space="preserve"> </w:t>
      </w:r>
    </w:p>
  </w:footnote>
  <w:footnote w:id="3">
    <w:p w:rsidR="00873A83" w:rsidRPr="00873A83" w:rsidRDefault="00873A83" w:rsidP="00881716">
      <w:pPr>
        <w:rPr>
          <w:sz w:val="20"/>
          <w:szCs w:val="20"/>
        </w:rPr>
      </w:pPr>
      <w:r>
        <w:rPr>
          <w:rStyle w:val="FootnoteReference"/>
        </w:rPr>
        <w:footnoteRef/>
      </w:r>
      <w:r>
        <w:t xml:space="preserve"> </w:t>
      </w:r>
      <w:r w:rsidRPr="00873A83">
        <w:rPr>
          <w:color w:val="000000"/>
          <w:sz w:val="20"/>
          <w:szCs w:val="20"/>
        </w:rPr>
        <w:t xml:space="preserve">Komisijas Paziņojums (SEC(2010) 923) par </w:t>
      </w:r>
      <w:r w:rsidRPr="00873A83">
        <w:rPr>
          <w:rStyle w:val="Strong"/>
          <w:b w:val="0"/>
          <w:color w:val="000000"/>
          <w:sz w:val="20"/>
          <w:szCs w:val="20"/>
        </w:rPr>
        <w:t>līguma par Eiropas Savienības darbību 260.panta piemērošanu</w:t>
      </w:r>
      <w:r w:rsidRPr="00873A83">
        <w:rPr>
          <w:b/>
          <w:bCs/>
          <w:color w:val="000000"/>
          <w:sz w:val="20"/>
          <w:szCs w:val="20"/>
        </w:rPr>
        <w:t xml:space="preserve">. </w:t>
      </w:r>
      <w:r w:rsidRPr="00873A83">
        <w:rPr>
          <w:sz w:val="20"/>
          <w:szCs w:val="20"/>
        </w:rPr>
        <w:t xml:space="preserve">Pieejams: </w:t>
      </w:r>
      <w:hyperlink r:id="rId3" w:history="1">
        <w:r w:rsidRPr="00873A83">
          <w:rPr>
            <w:rStyle w:val="Hyperlink"/>
            <w:sz w:val="20"/>
            <w:szCs w:val="20"/>
          </w:rPr>
          <w:t>http://ec.europa.eu/community_law/docs/docs_infringements/sec_2010_923_en.pdf</w:t>
        </w:r>
      </w:hyperlink>
    </w:p>
    <w:p w:rsidR="00873A83" w:rsidRDefault="00873A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3" w:rsidRDefault="00873A8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29444C">
      <w:rPr>
        <w:rStyle w:val="PageNumber"/>
        <w:noProof/>
      </w:rPr>
      <w:t>6</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BB"/>
    <w:multiLevelType w:val="hybridMultilevel"/>
    <w:tmpl w:val="65341B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E96E94"/>
    <w:multiLevelType w:val="hybridMultilevel"/>
    <w:tmpl w:val="2F06438E"/>
    <w:lvl w:ilvl="0" w:tplc="6A2C717A">
      <w:start w:val="1"/>
      <w:numFmt w:val="bullet"/>
      <w:lvlText w:val="-"/>
      <w:lvlJc w:val="left"/>
      <w:pPr>
        <w:ind w:left="720" w:hanging="360"/>
      </w:pPr>
      <w:rPr>
        <w:rFonts w:ascii="NMFNGA+TimesNewRoman,Bold" w:eastAsia="Calibri" w:hAnsi="NMFNGA+TimesNewRoman,Bold" w:cs="NMFNGA+TimesNewRoman,Bol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5476876"/>
    <w:multiLevelType w:val="hybridMultilevel"/>
    <w:tmpl w:val="132A7F84"/>
    <w:lvl w:ilvl="0" w:tplc="28D8575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157D05"/>
    <w:multiLevelType w:val="hybridMultilevel"/>
    <w:tmpl w:val="65341B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6E4CC3"/>
    <w:multiLevelType w:val="hybridMultilevel"/>
    <w:tmpl w:val="02AAA6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814389"/>
    <w:multiLevelType w:val="hybridMultilevel"/>
    <w:tmpl w:val="B4DAB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B4485B"/>
    <w:multiLevelType w:val="hybridMultilevel"/>
    <w:tmpl w:val="97261EB2"/>
    <w:lvl w:ilvl="0" w:tplc="3C1ED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6"/>
  </w:num>
  <w:num w:numId="2">
    <w:abstractNumId w:val="2"/>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E76508"/>
    <w:rsid w:val="00025266"/>
    <w:rsid w:val="0002614E"/>
    <w:rsid w:val="00053CF2"/>
    <w:rsid w:val="00054F65"/>
    <w:rsid w:val="00065838"/>
    <w:rsid w:val="00071B76"/>
    <w:rsid w:val="0008515A"/>
    <w:rsid w:val="00091B69"/>
    <w:rsid w:val="000F5F68"/>
    <w:rsid w:val="00101FAB"/>
    <w:rsid w:val="00107468"/>
    <w:rsid w:val="00111AB6"/>
    <w:rsid w:val="00152065"/>
    <w:rsid w:val="0019190F"/>
    <w:rsid w:val="00194767"/>
    <w:rsid w:val="001B1E7B"/>
    <w:rsid w:val="001B23F8"/>
    <w:rsid w:val="001F3F21"/>
    <w:rsid w:val="00220422"/>
    <w:rsid w:val="00240147"/>
    <w:rsid w:val="002823E1"/>
    <w:rsid w:val="0029444C"/>
    <w:rsid w:val="00296B00"/>
    <w:rsid w:val="002A1561"/>
    <w:rsid w:val="002A1EF2"/>
    <w:rsid w:val="002A7046"/>
    <w:rsid w:val="002C71E0"/>
    <w:rsid w:val="00327C46"/>
    <w:rsid w:val="00332DB7"/>
    <w:rsid w:val="003575A4"/>
    <w:rsid w:val="003704E5"/>
    <w:rsid w:val="0037210D"/>
    <w:rsid w:val="003764DB"/>
    <w:rsid w:val="00384860"/>
    <w:rsid w:val="0039028A"/>
    <w:rsid w:val="003A167A"/>
    <w:rsid w:val="003A3D8A"/>
    <w:rsid w:val="003E566E"/>
    <w:rsid w:val="003E5D81"/>
    <w:rsid w:val="00400976"/>
    <w:rsid w:val="00401699"/>
    <w:rsid w:val="004535D8"/>
    <w:rsid w:val="004607EF"/>
    <w:rsid w:val="00466EB9"/>
    <w:rsid w:val="00477113"/>
    <w:rsid w:val="004775CF"/>
    <w:rsid w:val="0049225E"/>
    <w:rsid w:val="00497E35"/>
    <w:rsid w:val="004C3656"/>
    <w:rsid w:val="00515B5A"/>
    <w:rsid w:val="00522354"/>
    <w:rsid w:val="00522917"/>
    <w:rsid w:val="005705A4"/>
    <w:rsid w:val="00577126"/>
    <w:rsid w:val="00583CB0"/>
    <w:rsid w:val="005E0F6A"/>
    <w:rsid w:val="006113DD"/>
    <w:rsid w:val="00650FD6"/>
    <w:rsid w:val="006860C9"/>
    <w:rsid w:val="00696ABB"/>
    <w:rsid w:val="006D3C3D"/>
    <w:rsid w:val="007130DE"/>
    <w:rsid w:val="007343D4"/>
    <w:rsid w:val="00737D55"/>
    <w:rsid w:val="00754B72"/>
    <w:rsid w:val="0076004D"/>
    <w:rsid w:val="007609FF"/>
    <w:rsid w:val="007701B2"/>
    <w:rsid w:val="007B10E0"/>
    <w:rsid w:val="007E7BB1"/>
    <w:rsid w:val="0080554C"/>
    <w:rsid w:val="00817E7E"/>
    <w:rsid w:val="008205EC"/>
    <w:rsid w:val="00825085"/>
    <w:rsid w:val="008251F1"/>
    <w:rsid w:val="00867860"/>
    <w:rsid w:val="00873A83"/>
    <w:rsid w:val="00881716"/>
    <w:rsid w:val="008A1077"/>
    <w:rsid w:val="00910D90"/>
    <w:rsid w:val="00946814"/>
    <w:rsid w:val="00972F21"/>
    <w:rsid w:val="00994729"/>
    <w:rsid w:val="00A009AE"/>
    <w:rsid w:val="00A129A2"/>
    <w:rsid w:val="00A14B91"/>
    <w:rsid w:val="00A15FF2"/>
    <w:rsid w:val="00A47E62"/>
    <w:rsid w:val="00A9081E"/>
    <w:rsid w:val="00A968B1"/>
    <w:rsid w:val="00AE16EB"/>
    <w:rsid w:val="00AF6215"/>
    <w:rsid w:val="00B07CE3"/>
    <w:rsid w:val="00B44BC3"/>
    <w:rsid w:val="00B621D9"/>
    <w:rsid w:val="00B63CF5"/>
    <w:rsid w:val="00B7150F"/>
    <w:rsid w:val="00B763E4"/>
    <w:rsid w:val="00BC4893"/>
    <w:rsid w:val="00C0355F"/>
    <w:rsid w:val="00C81DB3"/>
    <w:rsid w:val="00CB600F"/>
    <w:rsid w:val="00CC0BD1"/>
    <w:rsid w:val="00CC3750"/>
    <w:rsid w:val="00CC62B0"/>
    <w:rsid w:val="00CD31A7"/>
    <w:rsid w:val="00D2063E"/>
    <w:rsid w:val="00D210AF"/>
    <w:rsid w:val="00D3668D"/>
    <w:rsid w:val="00D41349"/>
    <w:rsid w:val="00DA75C2"/>
    <w:rsid w:val="00DC03B9"/>
    <w:rsid w:val="00DC4FF7"/>
    <w:rsid w:val="00DD0743"/>
    <w:rsid w:val="00DD521E"/>
    <w:rsid w:val="00DF4EC9"/>
    <w:rsid w:val="00DF72A7"/>
    <w:rsid w:val="00E013DE"/>
    <w:rsid w:val="00E4147A"/>
    <w:rsid w:val="00E66024"/>
    <w:rsid w:val="00E733C6"/>
    <w:rsid w:val="00E76508"/>
    <w:rsid w:val="00E76FFE"/>
    <w:rsid w:val="00EC5ECA"/>
    <w:rsid w:val="00ED4936"/>
    <w:rsid w:val="00EE1EDF"/>
    <w:rsid w:val="00F024A8"/>
    <w:rsid w:val="00F33262"/>
    <w:rsid w:val="00F43FE5"/>
    <w:rsid w:val="00F77343"/>
    <w:rsid w:val="00FA00C0"/>
    <w:rsid w:val="00FC05EE"/>
    <w:rsid w:val="00FF6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508"/>
    <w:pPr>
      <w:tabs>
        <w:tab w:val="center" w:pos="4153"/>
        <w:tab w:val="right" w:pos="8306"/>
      </w:tabs>
    </w:pPr>
  </w:style>
  <w:style w:type="character" w:customStyle="1" w:styleId="HeaderChar">
    <w:name w:val="Header Char"/>
    <w:link w:val="Header"/>
    <w:rsid w:val="00E76508"/>
    <w:rPr>
      <w:rFonts w:ascii="Times New Roman" w:eastAsia="Times New Roman" w:hAnsi="Times New Roman" w:cs="Times New Roman"/>
      <w:sz w:val="24"/>
      <w:szCs w:val="24"/>
      <w:lang w:val="lv-LV" w:eastAsia="lv-LV"/>
    </w:rPr>
  </w:style>
  <w:style w:type="paragraph" w:customStyle="1" w:styleId="naisf">
    <w:name w:val="naisf"/>
    <w:basedOn w:val="Normal"/>
    <w:rsid w:val="00E76508"/>
    <w:pPr>
      <w:spacing w:before="75" w:after="75"/>
      <w:ind w:firstLine="375"/>
      <w:jc w:val="both"/>
    </w:pPr>
  </w:style>
  <w:style w:type="character" w:styleId="PageNumber">
    <w:name w:val="page number"/>
    <w:basedOn w:val="DefaultParagraphFont"/>
    <w:rsid w:val="00E76508"/>
  </w:style>
  <w:style w:type="character" w:styleId="Hyperlink">
    <w:name w:val="Hyperlink"/>
    <w:rsid w:val="00E76508"/>
    <w:rPr>
      <w:rFonts w:cs="Times New Roman"/>
      <w:color w:val="0000FF"/>
      <w:u w:val="single"/>
    </w:rPr>
  </w:style>
  <w:style w:type="paragraph" w:customStyle="1" w:styleId="naisnod">
    <w:name w:val="naisnod"/>
    <w:basedOn w:val="Normal"/>
    <w:rsid w:val="00E76508"/>
    <w:pPr>
      <w:spacing w:before="150" w:after="150"/>
      <w:jc w:val="center"/>
    </w:pPr>
    <w:rPr>
      <w:b/>
      <w:bCs/>
    </w:rPr>
  </w:style>
  <w:style w:type="paragraph" w:customStyle="1" w:styleId="naiskr">
    <w:name w:val="naiskr"/>
    <w:basedOn w:val="Normal"/>
    <w:rsid w:val="00E76508"/>
    <w:pPr>
      <w:spacing w:before="75" w:after="75"/>
    </w:pPr>
  </w:style>
  <w:style w:type="paragraph" w:styleId="Title">
    <w:name w:val="Title"/>
    <w:basedOn w:val="Normal"/>
    <w:link w:val="TitleChar"/>
    <w:qFormat/>
    <w:rsid w:val="00E76508"/>
    <w:pPr>
      <w:jc w:val="center"/>
    </w:pPr>
    <w:rPr>
      <w:b/>
      <w:bCs/>
      <w:lang w:eastAsia="en-US"/>
    </w:rPr>
  </w:style>
  <w:style w:type="character" w:customStyle="1" w:styleId="TitleChar">
    <w:name w:val="Title Char"/>
    <w:link w:val="Title"/>
    <w:rsid w:val="00E76508"/>
    <w:rPr>
      <w:rFonts w:ascii="Times New Roman" w:eastAsia="Times New Roman" w:hAnsi="Times New Roman" w:cs="Times New Roman"/>
      <w:b/>
      <w:bCs/>
      <w:sz w:val="24"/>
      <w:szCs w:val="24"/>
      <w:lang w:val="lv-LV"/>
    </w:rPr>
  </w:style>
  <w:style w:type="paragraph" w:customStyle="1" w:styleId="naisc">
    <w:name w:val="naisc"/>
    <w:basedOn w:val="Normal"/>
    <w:rsid w:val="00E76508"/>
    <w:pPr>
      <w:spacing w:before="75" w:after="75"/>
      <w:jc w:val="center"/>
    </w:pPr>
  </w:style>
  <w:style w:type="character" w:styleId="Emphasis">
    <w:name w:val="Emphasis"/>
    <w:qFormat/>
    <w:rsid w:val="00E76508"/>
    <w:rPr>
      <w:i/>
      <w:iCs/>
    </w:rPr>
  </w:style>
  <w:style w:type="paragraph" w:customStyle="1" w:styleId="tvhtml1">
    <w:name w:val="tv_html1"/>
    <w:basedOn w:val="Normal"/>
    <w:rsid w:val="00E76508"/>
    <w:pPr>
      <w:spacing w:before="100" w:beforeAutospacing="1" w:line="360" w:lineRule="auto"/>
    </w:pPr>
    <w:rPr>
      <w:rFonts w:ascii="Verdana" w:hAnsi="Verdana"/>
      <w:sz w:val="18"/>
      <w:szCs w:val="18"/>
      <w:lang w:val="en-US" w:eastAsia="en-US"/>
    </w:rPr>
  </w:style>
  <w:style w:type="character" w:styleId="Strong">
    <w:name w:val="Strong"/>
    <w:uiPriority w:val="22"/>
    <w:qFormat/>
    <w:rsid w:val="00E76508"/>
    <w:rPr>
      <w:b/>
      <w:bCs/>
    </w:rPr>
  </w:style>
  <w:style w:type="paragraph" w:customStyle="1" w:styleId="tv2131">
    <w:name w:val="tv2131"/>
    <w:basedOn w:val="Normal"/>
    <w:rsid w:val="00E76508"/>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76508"/>
    <w:pPr>
      <w:spacing w:before="240" w:line="360" w:lineRule="auto"/>
      <w:ind w:firstLine="259"/>
      <w:jc w:val="right"/>
    </w:pPr>
    <w:rPr>
      <w:rFonts w:ascii="Verdana" w:hAnsi="Verdana"/>
      <w:sz w:val="16"/>
      <w:szCs w:val="16"/>
      <w:lang w:eastAsia="en-US"/>
    </w:rPr>
  </w:style>
  <w:style w:type="paragraph" w:customStyle="1" w:styleId="Standard">
    <w:name w:val="Standard"/>
    <w:rsid w:val="00754B72"/>
    <w:pPr>
      <w:widowControl w:val="0"/>
      <w:suppressAutoHyphens/>
      <w:autoSpaceDN w:val="0"/>
      <w:textAlignment w:val="baseline"/>
    </w:pPr>
    <w:rPr>
      <w:rFonts w:ascii="Liberation Serif" w:eastAsia="WenQuanYi Micro Hei" w:hAnsi="Liberation Serif" w:cs="Lohit Hindi"/>
      <w:kern w:val="3"/>
      <w:sz w:val="24"/>
      <w:szCs w:val="24"/>
      <w:lang w:val="en-US" w:eastAsia="zh-CN" w:bidi="hi-IN"/>
    </w:rPr>
  </w:style>
  <w:style w:type="character" w:customStyle="1" w:styleId="StrongEmphasis">
    <w:name w:val="Strong Emphasis"/>
    <w:rsid w:val="00754B72"/>
    <w:rPr>
      <w:b/>
      <w:bCs/>
    </w:rPr>
  </w:style>
  <w:style w:type="paragraph" w:customStyle="1" w:styleId="tv213">
    <w:name w:val="tv213"/>
    <w:basedOn w:val="Normal"/>
    <w:rsid w:val="00220422"/>
    <w:pPr>
      <w:spacing w:before="100" w:beforeAutospacing="1" w:after="100" w:afterAutospacing="1"/>
    </w:pPr>
  </w:style>
  <w:style w:type="paragraph" w:styleId="ListParagraph">
    <w:name w:val="List Paragraph"/>
    <w:basedOn w:val="Normal"/>
    <w:qFormat/>
    <w:rsid w:val="0019190F"/>
    <w:pPr>
      <w:tabs>
        <w:tab w:val="left" w:pos="720"/>
      </w:tabs>
      <w:suppressAutoHyphens/>
      <w:spacing w:line="100" w:lineRule="atLeast"/>
      <w:ind w:left="720"/>
    </w:pPr>
  </w:style>
  <w:style w:type="character" w:styleId="CommentReference">
    <w:name w:val="annotation reference"/>
    <w:uiPriority w:val="99"/>
    <w:semiHidden/>
    <w:unhideWhenUsed/>
    <w:rsid w:val="006D3C3D"/>
    <w:rPr>
      <w:sz w:val="16"/>
      <w:szCs w:val="16"/>
    </w:rPr>
  </w:style>
  <w:style w:type="paragraph" w:styleId="CommentText">
    <w:name w:val="annotation text"/>
    <w:basedOn w:val="Normal"/>
    <w:link w:val="CommentTextChar"/>
    <w:uiPriority w:val="99"/>
    <w:semiHidden/>
    <w:unhideWhenUsed/>
    <w:rsid w:val="006D3C3D"/>
    <w:rPr>
      <w:sz w:val="20"/>
      <w:szCs w:val="20"/>
    </w:rPr>
  </w:style>
  <w:style w:type="character" w:customStyle="1" w:styleId="CommentTextChar">
    <w:name w:val="Comment Text Char"/>
    <w:link w:val="CommentText"/>
    <w:uiPriority w:val="99"/>
    <w:semiHidden/>
    <w:rsid w:val="006D3C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3C3D"/>
    <w:rPr>
      <w:b/>
      <w:bCs/>
    </w:rPr>
  </w:style>
  <w:style w:type="character" w:customStyle="1" w:styleId="CommentSubjectChar">
    <w:name w:val="Comment Subject Char"/>
    <w:link w:val="CommentSubject"/>
    <w:uiPriority w:val="99"/>
    <w:semiHidden/>
    <w:rsid w:val="006D3C3D"/>
    <w:rPr>
      <w:rFonts w:ascii="Times New Roman" w:eastAsia="Times New Roman" w:hAnsi="Times New Roman"/>
      <w:b/>
      <w:bCs/>
    </w:rPr>
  </w:style>
  <w:style w:type="paragraph" w:styleId="BalloonText">
    <w:name w:val="Balloon Text"/>
    <w:basedOn w:val="Normal"/>
    <w:link w:val="BalloonTextChar"/>
    <w:uiPriority w:val="99"/>
    <w:semiHidden/>
    <w:unhideWhenUsed/>
    <w:rsid w:val="006D3C3D"/>
    <w:rPr>
      <w:rFonts w:ascii="Segoe UI" w:hAnsi="Segoe UI" w:cs="Segoe UI"/>
      <w:sz w:val="18"/>
      <w:szCs w:val="18"/>
    </w:rPr>
  </w:style>
  <w:style w:type="character" w:customStyle="1" w:styleId="BalloonTextChar">
    <w:name w:val="Balloon Text Char"/>
    <w:link w:val="BalloonText"/>
    <w:uiPriority w:val="99"/>
    <w:semiHidden/>
    <w:rsid w:val="006D3C3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C71E0"/>
    <w:rPr>
      <w:sz w:val="20"/>
      <w:szCs w:val="20"/>
    </w:rPr>
  </w:style>
  <w:style w:type="character" w:customStyle="1" w:styleId="FootnoteTextChar">
    <w:name w:val="Footnote Text Char"/>
    <w:link w:val="FootnoteText"/>
    <w:uiPriority w:val="99"/>
    <w:semiHidden/>
    <w:rsid w:val="002C71E0"/>
    <w:rPr>
      <w:rFonts w:ascii="Times New Roman" w:eastAsia="Times New Roman" w:hAnsi="Times New Roman"/>
    </w:rPr>
  </w:style>
  <w:style w:type="character" w:styleId="FootnoteReference">
    <w:name w:val="footnote reference"/>
    <w:uiPriority w:val="99"/>
    <w:semiHidden/>
    <w:unhideWhenUsed/>
    <w:rsid w:val="002C71E0"/>
    <w:rPr>
      <w:vertAlign w:val="superscript"/>
    </w:rPr>
  </w:style>
  <w:style w:type="paragraph" w:customStyle="1" w:styleId="Default">
    <w:name w:val="Default"/>
    <w:rsid w:val="00D3668D"/>
    <w:pPr>
      <w:autoSpaceDE w:val="0"/>
      <w:autoSpaceDN w:val="0"/>
      <w:adjustRightInd w:val="0"/>
    </w:pPr>
    <w:rPr>
      <w:rFonts w:ascii="NMFNGA+TimesNewRoman,Bold" w:eastAsia="Times New Roman" w:hAnsi="NMFNGA+TimesNewRoman,Bold" w:cs="NMFNGA+TimesNewRoman,Bold"/>
      <w:color w:val="000000"/>
      <w:sz w:val="24"/>
      <w:szCs w:val="24"/>
    </w:rPr>
  </w:style>
  <w:style w:type="table" w:styleId="TableGrid">
    <w:name w:val="Table Grid"/>
    <w:basedOn w:val="TableNormal"/>
    <w:uiPriority w:val="59"/>
    <w:rsid w:val="00D3668D"/>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09AE"/>
    <w:pPr>
      <w:tabs>
        <w:tab w:val="center" w:pos="4153"/>
        <w:tab w:val="right" w:pos="8306"/>
      </w:tabs>
    </w:pPr>
  </w:style>
  <w:style w:type="character" w:customStyle="1" w:styleId="FooterChar">
    <w:name w:val="Footer Char"/>
    <w:link w:val="Footer"/>
    <w:uiPriority w:val="99"/>
    <w:rsid w:val="00A009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0833">
      <w:bodyDiv w:val="1"/>
      <w:marLeft w:val="0"/>
      <w:marRight w:val="0"/>
      <w:marTop w:val="0"/>
      <w:marBottom w:val="0"/>
      <w:divBdr>
        <w:top w:val="none" w:sz="0" w:space="0" w:color="auto"/>
        <w:left w:val="none" w:sz="0" w:space="0" w:color="auto"/>
        <w:bottom w:val="none" w:sz="0" w:space="0" w:color="auto"/>
        <w:right w:val="none" w:sz="0" w:space="0" w:color="auto"/>
      </w:divBdr>
      <w:divsChild>
        <w:div w:id="467476349">
          <w:marLeft w:val="0"/>
          <w:marRight w:val="0"/>
          <w:marTop w:val="0"/>
          <w:marBottom w:val="0"/>
          <w:divBdr>
            <w:top w:val="none" w:sz="0" w:space="0" w:color="auto"/>
            <w:left w:val="none" w:sz="0" w:space="0" w:color="auto"/>
            <w:bottom w:val="none" w:sz="0" w:space="0" w:color="auto"/>
            <w:right w:val="none" w:sz="0" w:space="0" w:color="auto"/>
          </w:divBdr>
          <w:divsChild>
            <w:div w:id="1204902986">
              <w:marLeft w:val="0"/>
              <w:marRight w:val="0"/>
              <w:marTop w:val="0"/>
              <w:marBottom w:val="0"/>
              <w:divBdr>
                <w:top w:val="none" w:sz="0" w:space="0" w:color="auto"/>
                <w:left w:val="none" w:sz="0" w:space="0" w:color="auto"/>
                <w:bottom w:val="none" w:sz="0" w:space="0" w:color="auto"/>
                <w:right w:val="none" w:sz="0" w:space="0" w:color="auto"/>
              </w:divBdr>
              <w:divsChild>
                <w:div w:id="862745496">
                  <w:marLeft w:val="0"/>
                  <w:marRight w:val="0"/>
                  <w:marTop w:val="0"/>
                  <w:marBottom w:val="0"/>
                  <w:divBdr>
                    <w:top w:val="none" w:sz="0" w:space="0" w:color="auto"/>
                    <w:left w:val="none" w:sz="0" w:space="0" w:color="auto"/>
                    <w:bottom w:val="none" w:sz="0" w:space="0" w:color="auto"/>
                    <w:right w:val="none" w:sz="0" w:space="0" w:color="auto"/>
                  </w:divBdr>
                  <w:divsChild>
                    <w:div w:id="1878856707">
                      <w:marLeft w:val="0"/>
                      <w:marRight w:val="0"/>
                      <w:marTop w:val="0"/>
                      <w:marBottom w:val="0"/>
                      <w:divBdr>
                        <w:top w:val="none" w:sz="0" w:space="0" w:color="auto"/>
                        <w:left w:val="none" w:sz="0" w:space="0" w:color="auto"/>
                        <w:bottom w:val="none" w:sz="0" w:space="0" w:color="auto"/>
                        <w:right w:val="none" w:sz="0" w:space="0" w:color="auto"/>
                      </w:divBdr>
                      <w:divsChild>
                        <w:div w:id="658459099">
                          <w:marLeft w:val="0"/>
                          <w:marRight w:val="0"/>
                          <w:marTop w:val="343"/>
                          <w:marBottom w:val="0"/>
                          <w:divBdr>
                            <w:top w:val="none" w:sz="0" w:space="0" w:color="auto"/>
                            <w:left w:val="none" w:sz="0" w:space="0" w:color="auto"/>
                            <w:bottom w:val="none" w:sz="0" w:space="0" w:color="auto"/>
                            <w:right w:val="none" w:sz="0" w:space="0" w:color="auto"/>
                          </w:divBdr>
                          <w:divsChild>
                            <w:div w:id="1011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38650">
      <w:bodyDiv w:val="1"/>
      <w:marLeft w:val="0"/>
      <w:marRight w:val="0"/>
      <w:marTop w:val="0"/>
      <w:marBottom w:val="0"/>
      <w:divBdr>
        <w:top w:val="none" w:sz="0" w:space="0" w:color="auto"/>
        <w:left w:val="none" w:sz="0" w:space="0" w:color="auto"/>
        <w:bottom w:val="none" w:sz="0" w:space="0" w:color="auto"/>
        <w:right w:val="none" w:sz="0" w:space="0" w:color="auto"/>
      </w:divBdr>
    </w:div>
    <w:div w:id="723287038">
      <w:bodyDiv w:val="1"/>
      <w:marLeft w:val="0"/>
      <w:marRight w:val="0"/>
      <w:marTop w:val="0"/>
      <w:marBottom w:val="0"/>
      <w:divBdr>
        <w:top w:val="none" w:sz="0" w:space="0" w:color="auto"/>
        <w:left w:val="none" w:sz="0" w:space="0" w:color="auto"/>
        <w:bottom w:val="none" w:sz="0" w:space="0" w:color="auto"/>
        <w:right w:val="none" w:sz="0" w:space="0" w:color="auto"/>
      </w:divBdr>
    </w:div>
    <w:div w:id="1317413642">
      <w:bodyDiv w:val="1"/>
      <w:marLeft w:val="0"/>
      <w:marRight w:val="0"/>
      <w:marTop w:val="0"/>
      <w:marBottom w:val="0"/>
      <w:divBdr>
        <w:top w:val="none" w:sz="0" w:space="0" w:color="auto"/>
        <w:left w:val="none" w:sz="0" w:space="0" w:color="auto"/>
        <w:bottom w:val="none" w:sz="0" w:space="0" w:color="auto"/>
        <w:right w:val="none" w:sz="0" w:space="0" w:color="auto"/>
      </w:divBdr>
    </w:div>
    <w:div w:id="1675961700">
      <w:bodyDiv w:val="1"/>
      <w:marLeft w:val="0"/>
      <w:marRight w:val="0"/>
      <w:marTop w:val="0"/>
      <w:marBottom w:val="0"/>
      <w:divBdr>
        <w:top w:val="none" w:sz="0" w:space="0" w:color="auto"/>
        <w:left w:val="none" w:sz="0" w:space="0" w:color="auto"/>
        <w:bottom w:val="none" w:sz="0" w:space="0" w:color="auto"/>
        <w:right w:val="none" w:sz="0" w:space="0" w:color="auto"/>
      </w:divBdr>
    </w:div>
    <w:div w:id="1760715194">
      <w:bodyDiv w:val="1"/>
      <w:marLeft w:val="0"/>
      <w:marRight w:val="0"/>
      <w:marTop w:val="0"/>
      <w:marBottom w:val="0"/>
      <w:divBdr>
        <w:top w:val="none" w:sz="0" w:space="0" w:color="auto"/>
        <w:left w:val="none" w:sz="0" w:space="0" w:color="auto"/>
        <w:bottom w:val="none" w:sz="0" w:space="0" w:color="auto"/>
        <w:right w:val="none" w:sz="0" w:space="0" w:color="auto"/>
      </w:divBdr>
    </w:div>
    <w:div w:id="1961182262">
      <w:bodyDiv w:val="1"/>
      <w:marLeft w:val="0"/>
      <w:marRight w:val="0"/>
      <w:marTop w:val="0"/>
      <w:marBottom w:val="0"/>
      <w:divBdr>
        <w:top w:val="none" w:sz="0" w:space="0" w:color="auto"/>
        <w:left w:val="none" w:sz="0" w:space="0" w:color="auto"/>
        <w:bottom w:val="none" w:sz="0" w:space="0" w:color="auto"/>
        <w:right w:val="none" w:sz="0" w:space="0" w:color="auto"/>
      </w:divBdr>
    </w:div>
    <w:div w:id="20656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munity_law/docs/docs_infringements/sec_2010_923_en.pdf" TargetMode="External"/><Relationship Id="rId2" Type="http://schemas.openxmlformats.org/officeDocument/2006/relationships/hyperlink" Target="http://data.csb.gov.lv/pxweb/lv/Sociala/Sociala__ikgad__dsamaksa/?tablelist=true&amp;rxid=562c2205-ba57-4130-b63a-6991f49ab6fe" TargetMode="External"/><Relationship Id="rId1" Type="http://schemas.openxmlformats.org/officeDocument/2006/relationships/hyperlink" Target="http://data.csb.gov.lv/pxweb/lv/Sociala/Sociala__ikgad__dsamaksa/?tablelist=true&amp;rxid=562c2205-ba57-4130-b63a-6991f49ab6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D847-BAD8-440E-B045-5F9A4C7E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9951</Words>
  <Characters>5673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15593</CharactersWithSpaces>
  <SharedDoc>false</SharedDoc>
  <HLinks>
    <vt:vector size="30" baseType="variant">
      <vt:variant>
        <vt:i4>2883592</vt:i4>
      </vt:variant>
      <vt:variant>
        <vt:i4>3</vt:i4>
      </vt:variant>
      <vt:variant>
        <vt:i4>0</vt:i4>
      </vt:variant>
      <vt:variant>
        <vt:i4>5</vt:i4>
      </vt:variant>
      <vt:variant>
        <vt:lpwstr>mailto:ilze.donina@varam.gov.lv</vt:lpwstr>
      </vt:variant>
      <vt:variant>
        <vt:lpwstr/>
      </vt:variant>
      <vt:variant>
        <vt:i4>1048649</vt:i4>
      </vt:variant>
      <vt:variant>
        <vt:i4>0</vt:i4>
      </vt:variant>
      <vt:variant>
        <vt:i4>0</vt:i4>
      </vt:variant>
      <vt:variant>
        <vt:i4>5</vt:i4>
      </vt:variant>
      <vt:variant>
        <vt:lpwstr>http://www.varam.gov.lv/</vt:lpwstr>
      </vt:variant>
      <vt:variant>
        <vt:lpwstr/>
      </vt:variant>
      <vt:variant>
        <vt:i4>131133</vt:i4>
      </vt:variant>
      <vt:variant>
        <vt:i4>6</vt:i4>
      </vt:variant>
      <vt:variant>
        <vt:i4>0</vt:i4>
      </vt:variant>
      <vt:variant>
        <vt:i4>5</vt:i4>
      </vt:variant>
      <vt:variant>
        <vt:lpwstr>http://ec.europa.eu/eu_law/infringements/infringements_260_en.htm</vt:lpwstr>
      </vt:variant>
      <vt:variant>
        <vt:lpwstr/>
      </vt:variant>
      <vt:variant>
        <vt:i4>7471150</vt:i4>
      </vt:variant>
      <vt:variant>
        <vt:i4>3</vt:i4>
      </vt:variant>
      <vt:variant>
        <vt:i4>0</vt:i4>
      </vt:variant>
      <vt:variant>
        <vt:i4>5</vt:i4>
      </vt:variant>
      <vt:variant>
        <vt:lpwstr>http://data.csb.gov.lv/pxweb/lv/Sociala/Sociala__ikgad__dsamaksa/?tablelist=true&amp;rxid=562c2205-ba57-4130-b63a-6991f49ab6fe</vt:lpwstr>
      </vt:variant>
      <vt:variant>
        <vt:lpwstr/>
      </vt:variant>
      <vt:variant>
        <vt:i4>7471150</vt:i4>
      </vt:variant>
      <vt:variant>
        <vt:i4>0</vt:i4>
      </vt:variant>
      <vt:variant>
        <vt:i4>0</vt:i4>
      </vt:variant>
      <vt:variant>
        <vt:i4>5</vt:i4>
      </vt:variant>
      <vt:variant>
        <vt:lpwstr>http://data.csb.gov.lv/pxweb/lv/Sociala/Sociala__ikgad__dsamaksa/?tablelist=true&amp;rxid=562c2205-ba57-4130-b63a-6991f49ab6fe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Madars Ūdris</cp:lastModifiedBy>
  <cp:revision>4</cp:revision>
  <cp:lastPrinted>2015-04-13T11:54:00Z</cp:lastPrinted>
  <dcterms:created xsi:type="dcterms:W3CDTF">2015-08-11T08:22:00Z</dcterms:created>
  <dcterms:modified xsi:type="dcterms:W3CDTF">2015-08-21T10:53:00Z</dcterms:modified>
  <cp:contentStatus/>
</cp:coreProperties>
</file>